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gif" ContentType="image/gif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1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962" w:type="dxa"/>
          </w:tcPr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  <w:r>
              <w:rPr>
                <w:rFonts w:hint="eastAsia" w:ascii="Cambria" w:hAnsi="Cambria"/>
                <w:caps/>
                <w:kern w:val="2"/>
                <w:sz w:val="32"/>
                <w:szCs w:val="32"/>
                <w:lang w:val="en-US" w:eastAsia="zh-CN"/>
              </w:rPr>
              <w:t xml:space="preserve">SHENZHEN </w:t>
            </w:r>
            <w:r>
              <w:rPr>
                <w:rFonts w:hint="eastAsia" w:ascii="Cambria" w:hAnsi="Cambria"/>
                <w:caps/>
                <w:kern w:val="2"/>
                <w:sz w:val="32"/>
                <w:szCs w:val="32"/>
              </w:rPr>
              <w:t>TIBTRONIX Technology Co., Ltd.</w:t>
            </w:r>
          </w:p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/>
                <w:caps/>
                <w:kern w:val="2"/>
                <w:sz w:val="32"/>
                <w:szCs w:val="32"/>
              </w:rPr>
            </w:pPr>
          </w:p>
          <w:p>
            <w:pPr>
              <w:pStyle w:val="93"/>
              <w:jc w:val="center"/>
              <w:rPr>
                <w:rFonts w:hint="eastAsia" w:ascii="Cambria" w:hAnsi="Cambria" w:eastAsia="宋体"/>
                <w:cap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Cambria" w:hAnsi="Cambria" w:eastAsia="宋体"/>
                <w:caps/>
                <w:kern w:val="2"/>
                <w:sz w:val="32"/>
                <w:szCs w:val="32"/>
                <w:lang w:eastAsia="zh-CN"/>
              </w:rPr>
              <w:pict>
                <v:shape id="_x0000_i1025" o:spt="75" alt="Tibtronix" type="#_x0000_t75" style="height:47.15pt;width:119.65pt;" filled="f" o:preferrelative="t" stroked="f" coordsize="21600,21600">
                  <v:path/>
                  <v:fill on="f" focussize="0,0"/>
                  <v:stroke on="f"/>
                  <v:imagedata r:id="rId6" o:title="Tibtronix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962" w:type="dxa"/>
            <w:tcBorders>
              <w:bottom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hint="eastAsia" w:ascii="Cambria" w:hAnsi="Cambria"/>
                <w:sz w:val="80"/>
                <w:szCs w:val="80"/>
              </w:rPr>
              <w:t>TSPL1E40D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62" w:type="dxa"/>
            <w:tcBorders>
              <w:top w:val="single" w:color="4F81BD" w:sz="4" w:space="0"/>
            </w:tcBorders>
            <w:vAlign w:val="center"/>
          </w:tcPr>
          <w:p>
            <w:pPr>
              <w:pStyle w:val="93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hint="eastAsia" w:ascii="Times New Roman" w:hAnsi="Times New Roman"/>
                <w:b/>
                <w:bCs/>
                <w:color w:val="7F7F7F"/>
                <w:sz w:val="24"/>
                <w:szCs w:val="24"/>
              </w:rPr>
              <w:t xml:space="preserve"> 155Mb/s 40Km SFP Transceiver                                                      Hot Pluggable, Duplex LC, +3.3V, 1310nm, FP-LD, Single-mode, DDM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2" w:type="dxa"/>
            <w:vAlign w:val="center"/>
          </w:tcPr>
          <w:p>
            <w:pPr>
              <w:pStyle w:val="9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2013/6/1</w:t>
            </w:r>
          </w:p>
        </w:tc>
      </w:tr>
    </w:tbl>
    <w:p/>
    <w:p/>
    <w:tbl>
      <w:tblPr>
        <w:tblStyle w:val="91"/>
        <w:tblpPr w:leftFromText="187" w:rightFromText="187" w:horzAnchor="margin" w:tblpXSpec="center" w:tblpYSpec="bottom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pStyle w:val="93"/>
            </w:pPr>
            <w:r>
              <w:rPr>
                <w:rFonts w:cs="Calibri"/>
                <w:kern w:val="10"/>
                <w:sz w:val="18"/>
                <w:szCs w:val="24"/>
              </w:rPr>
              <w:t xml:space="preserve">Shenzhen Tibtronix Technology Co., Ltd.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              </w:t>
            </w:r>
            <w:r>
              <w:rPr>
                <w:rFonts w:eastAsia="微软雅黑"/>
                <w:color w:val="000000"/>
                <w:sz w:val="18"/>
                <w:szCs w:val="18"/>
              </w:rPr>
              <w:t>3/F,12th Building, Nangang 1st Industrial Park, Baimang Xili, Songbai Road, Nanshan District, Shenzhen, China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</w:t>
            </w:r>
            <w:r>
              <w:rPr>
                <w:rFonts w:cs="Calibri"/>
                <w:kern w:val="10"/>
                <w:sz w:val="18"/>
                <w:szCs w:val="24"/>
              </w:rPr>
              <w:t xml:space="preserve">               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Tel: +86 755 23316583        Fax: +86 755 </w:t>
            </w:r>
            <w:r>
              <w:rPr>
                <w:rFonts w:hint="eastAsia" w:cs="Calibri"/>
                <w:kern w:val="10"/>
                <w:sz w:val="18"/>
                <w:szCs w:val="24"/>
                <w:lang w:val="en-US" w:eastAsia="zh-CN"/>
              </w:rPr>
              <w:t>29810056</w:t>
            </w:r>
            <w:r>
              <w:rPr>
                <w:rFonts w:hint="eastAsia" w:cs="Calibri"/>
                <w:kern w:val="10"/>
                <w:sz w:val="18"/>
                <w:szCs w:val="24"/>
              </w:rPr>
              <w:tab/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E-mail: </w:t>
            </w:r>
            <w:r>
              <w:rPr>
                <w:rFonts w:cs="Calibri"/>
                <w:kern w:val="10"/>
                <w:sz w:val="18"/>
                <w:szCs w:val="24"/>
              </w:rPr>
              <w:t>sales@tibtronix.com</w:t>
            </w:r>
            <w:r>
              <w:rPr>
                <w:rFonts w:hint="eastAsia" w:cs="Calibri"/>
                <w:kern w:val="10"/>
                <w:sz w:val="18"/>
                <w:szCs w:val="24"/>
              </w:rPr>
              <w:t xml:space="preserve">      </w:t>
            </w:r>
            <w:bookmarkStart w:id="0" w:name="OLE_LINK1"/>
            <w:r>
              <w:rPr>
                <w:rFonts w:hint="eastAsia" w:cs="Calibri"/>
                <w:kern w:val="10"/>
                <w:sz w:val="18"/>
                <w:szCs w:val="24"/>
              </w:rPr>
              <w:t>http://www.tibtronix.com</w:t>
            </w:r>
            <w:bookmarkEnd w:id="0"/>
          </w:p>
        </w:tc>
      </w:tr>
    </w:tbl>
    <w:p/>
    <w:p>
      <w:pPr>
        <w:widowControl/>
        <w:jc w:val="center"/>
        <w:rPr>
          <w:rFonts w:cs="Calibri"/>
        </w:rPr>
      </w:pPr>
      <w:r>
        <w:rPr>
          <w:rFonts w:cs="Calibri"/>
        </w:rPr>
        <w:pict>
          <v:shape id="_x0000_i1026" o:spt="75" alt="TSPL1G40D SFP LC" type="#_x0000_t75" style="height:239.85pt;width:239.85pt;" filled="f" o:preferrelative="t" stroked="f" coordsize="21600,21600">
            <v:path/>
            <v:fill on="f" focussize="0,0"/>
            <v:stroke on="f"/>
            <v:imagedata r:id="rId7" o:title="TSPL1G40D SFP LC"/>
            <o:lock v:ext="edit" aspectratio="t"/>
            <w10:wrap type="none"/>
            <w10:anchorlock/>
          </v:shape>
        </w:pict>
      </w:r>
      <w:r>
        <w:rPr>
          <w:rFonts w:cs="Calibri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cs="Calibri"/>
          <w:b/>
          <w:kern w:val="0"/>
          <w:sz w:val="30"/>
        </w:rPr>
      </w:pPr>
      <w:r>
        <w:rPr>
          <w:rFonts w:cs="Calibri"/>
          <w:b/>
          <w:kern w:val="0"/>
          <w:sz w:val="30"/>
        </w:rPr>
        <w:t xml:space="preserve"> Features:                                             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cs="TimesNewRomanPSMT"/>
          <w:kern w:val="0"/>
          <w:sz w:val="24"/>
        </w:rPr>
      </w:pPr>
      <w:r>
        <w:rPr>
          <w:color w:val="000000"/>
          <w:sz w:val="24"/>
        </w:rPr>
        <w:t>Up to 155Mb/s Data Links</w:t>
      </w:r>
      <w:r>
        <w:rPr>
          <w:rFonts w:cs="TimesNewRomanPSMT"/>
          <w:kern w:val="0"/>
          <w:sz w:val="24"/>
        </w:rPr>
        <w:t xml:space="preserve"> 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cs="TimesNewRomanPSMT"/>
          <w:kern w:val="0"/>
          <w:sz w:val="24"/>
        </w:rPr>
      </w:pPr>
      <w:r>
        <w:rPr>
          <w:sz w:val="24"/>
        </w:rPr>
        <w:t>Hot-Pluggable</w:t>
      </w:r>
    </w:p>
    <w:p>
      <w:pPr>
        <w:pStyle w:val="95"/>
        <w:numPr>
          <w:ilvl w:val="0"/>
          <w:numId w:val="11"/>
        </w:numPr>
        <w:tabs>
          <w:tab w:val="left" w:pos="630"/>
        </w:tabs>
        <w:spacing w:line="300" w:lineRule="auto"/>
        <w:ind w:firstLineChars="0"/>
        <w:rPr>
          <w:sz w:val="24"/>
        </w:rPr>
      </w:pPr>
      <w:r>
        <w:rPr>
          <w:rFonts w:cs="TimesNewRomanPSMT"/>
          <w:kern w:val="0"/>
          <w:sz w:val="24"/>
        </w:rPr>
        <w:t>Duplex LC connector</w:t>
      </w:r>
    </w:p>
    <w:p>
      <w:pPr>
        <w:pStyle w:val="95"/>
        <w:numPr>
          <w:ilvl w:val="0"/>
          <w:numId w:val="11"/>
        </w:numPr>
        <w:spacing w:line="300" w:lineRule="auto"/>
        <w:ind w:firstLineChars="0"/>
        <w:rPr>
          <w:sz w:val="24"/>
        </w:rPr>
      </w:pPr>
      <w:r>
        <w:rPr>
          <w:rFonts w:cs="TimesNewRomanPSMT"/>
          <w:kern w:val="0"/>
          <w:sz w:val="24"/>
        </w:rPr>
        <w:t xml:space="preserve">Up to </w:t>
      </w:r>
      <w:r>
        <w:rPr>
          <w:rFonts w:hint="eastAsia" w:cs="TimesNewRomanPSMT"/>
          <w:kern w:val="0"/>
          <w:sz w:val="24"/>
        </w:rPr>
        <w:t>40</w:t>
      </w:r>
      <w:r>
        <w:rPr>
          <w:rFonts w:cs="TimesNewRomanPSMT"/>
          <w:kern w:val="0"/>
          <w:sz w:val="24"/>
        </w:rPr>
        <w:t xml:space="preserve">km on </w:t>
      </w:r>
      <w:r>
        <w:rPr>
          <w:rFonts w:hint="eastAsia" w:cs="TimesNewRomanPSMT"/>
          <w:kern w:val="0"/>
          <w:sz w:val="24"/>
        </w:rPr>
        <w:t>9</w:t>
      </w:r>
      <w:r>
        <w:rPr>
          <w:rFonts w:cs="TimesNewRomanPSMT"/>
          <w:kern w:val="0"/>
          <w:sz w:val="24"/>
        </w:rPr>
        <w:t>/125</w:t>
      </w:r>
      <w:r>
        <w:rPr>
          <w:rFonts w:eastAsia="SymbolMT" w:cs="SymbolMT"/>
          <w:kern w:val="0"/>
          <w:sz w:val="24"/>
        </w:rPr>
        <w:t>μ</w:t>
      </w:r>
      <w:r>
        <w:rPr>
          <w:rFonts w:cs="TimesNewRomanPSMT"/>
          <w:kern w:val="0"/>
          <w:sz w:val="24"/>
        </w:rPr>
        <w:t xml:space="preserve">m </w:t>
      </w:r>
      <w:r>
        <w:rPr>
          <w:rFonts w:hint="eastAsia" w:cs="TimesNewRomanPSMT"/>
          <w:kern w:val="0"/>
          <w:sz w:val="24"/>
        </w:rPr>
        <w:t>S</w:t>
      </w:r>
      <w:r>
        <w:rPr>
          <w:rFonts w:cs="TimesNewRomanPSMT"/>
          <w:kern w:val="0"/>
          <w:sz w:val="24"/>
        </w:rPr>
        <w:t>MF</w:t>
      </w:r>
    </w:p>
    <w:p>
      <w:pPr>
        <w:pStyle w:val="95"/>
        <w:numPr>
          <w:ilvl w:val="0"/>
          <w:numId w:val="11"/>
        </w:numPr>
        <w:tabs>
          <w:tab w:val="left" w:pos="525"/>
          <w:tab w:val="left" w:pos="630"/>
        </w:tabs>
        <w:autoSpaceDE w:val="0"/>
        <w:autoSpaceDN w:val="0"/>
        <w:adjustRightInd w:val="0"/>
        <w:spacing w:line="300" w:lineRule="auto"/>
        <w:ind w:firstLineChars="0"/>
        <w:jc w:val="left"/>
        <w:rPr>
          <w:rFonts w:cs="TimesNewRomanPSMT"/>
          <w:kern w:val="0"/>
          <w:sz w:val="24"/>
        </w:rPr>
      </w:pPr>
      <w:r>
        <w:rPr>
          <w:rFonts w:hint="eastAsia"/>
          <w:kern w:val="0"/>
          <w:sz w:val="24"/>
        </w:rPr>
        <w:t>131</w:t>
      </w:r>
      <w:r>
        <w:rPr>
          <w:kern w:val="0"/>
          <w:sz w:val="24"/>
        </w:rPr>
        <w:t xml:space="preserve">0nm </w:t>
      </w:r>
      <w:r>
        <w:rPr>
          <w:rFonts w:hint="eastAsia"/>
          <w:kern w:val="0"/>
          <w:sz w:val="24"/>
        </w:rPr>
        <w:t>FP</w:t>
      </w:r>
      <w:r>
        <w:rPr>
          <w:kern w:val="0"/>
          <w:sz w:val="24"/>
        </w:rPr>
        <w:t xml:space="preserve"> laser transmitter</w:t>
      </w:r>
      <w:r>
        <w:rPr>
          <w:sz w:val="24"/>
        </w:rPr>
        <w:t xml:space="preserve"> 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Single +3.3V Power Supply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color w:val="000000"/>
          <w:sz w:val="24"/>
        </w:rPr>
        <w:t>Monitoring Interface Compliant with SFF-8472</w:t>
      </w:r>
    </w:p>
    <w:p>
      <w:pPr>
        <w:pStyle w:val="95"/>
        <w:numPr>
          <w:ilvl w:val="0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kern w:val="0"/>
          <w:sz w:val="24"/>
          <w:szCs w:val="24"/>
        </w:rPr>
        <w:t>Maximum Power</w:t>
      </w:r>
      <w:r>
        <w:rPr>
          <w:rFonts w:cs="TimesNewRomanPSMT"/>
          <w:kern w:val="0"/>
          <w:sz w:val="24"/>
        </w:rPr>
        <w:t xml:space="preserve"> &lt;1W</w:t>
      </w:r>
      <w:r>
        <w:rPr>
          <w:sz w:val="24"/>
        </w:rPr>
        <w:t xml:space="preserve"> 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cs="Calibri"/>
          <w:kern w:val="0"/>
          <w:sz w:val="24"/>
        </w:rPr>
      </w:pPr>
      <w:r>
        <w:rPr>
          <w:rFonts w:cs="TimesNewRomanPSMT"/>
          <w:kern w:val="0"/>
          <w:sz w:val="24"/>
        </w:rPr>
        <w:t>Industrial /Extended/</w:t>
      </w:r>
      <w:r>
        <w:rPr>
          <w:rFonts w:cs="TimesNewRoman"/>
          <w:kern w:val="0"/>
          <w:sz w:val="24"/>
        </w:rPr>
        <w:t xml:space="preserve"> Commercial</w:t>
      </w:r>
      <w:r>
        <w:rPr>
          <w:sz w:val="24"/>
        </w:rPr>
        <w:t xml:space="preserve"> </w:t>
      </w:r>
      <w:r>
        <w:rPr>
          <w:rFonts w:cs="TimesNewRomanPSMT"/>
          <w:kern w:val="0"/>
          <w:sz w:val="24"/>
        </w:rPr>
        <w:t>operating temperature</w:t>
      </w:r>
      <w:r>
        <w:rPr>
          <w:sz w:val="24"/>
        </w:rPr>
        <w:t xml:space="preserve"> </w:t>
      </w:r>
      <w:r>
        <w:rPr>
          <w:rFonts w:cs="TimesNewRomanPSMT"/>
          <w:kern w:val="0"/>
          <w:sz w:val="24"/>
        </w:rPr>
        <w:t xml:space="preserve">range: 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jc w:val="left"/>
        <w:rPr>
          <w:rFonts w:cs="TimesNewRomanPSMT"/>
          <w:kern w:val="0"/>
          <w:sz w:val="24"/>
        </w:rPr>
      </w:pPr>
      <w:r>
        <w:rPr>
          <w:rFonts w:cs="TimesNewRomanPSMT"/>
          <w:kern w:val="0"/>
          <w:sz w:val="24"/>
        </w:rPr>
        <w:t>-40°C to 85°C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jc w:val="left"/>
        <w:rPr>
          <w:rFonts w:hint="eastAsia" w:cs="TimesNewRomanPSMT"/>
          <w:kern w:val="0"/>
          <w:sz w:val="24"/>
          <w:lang w:val="en-US" w:eastAsia="zh-CN"/>
        </w:rPr>
      </w:pPr>
      <w:r>
        <w:rPr>
          <w:rFonts w:cs="TimesNewRomanPSMT"/>
          <w:kern w:val="0"/>
          <w:sz w:val="24"/>
        </w:rPr>
        <w:t>-5°C to 85°C</w:t>
      </w:r>
      <w:r>
        <w:rPr>
          <w:rFonts w:hint="eastAsia" w:cs="TimesNewRomanPSMT"/>
          <w:kern w:val="0"/>
          <w:sz w:val="24"/>
          <w:lang w:val="en-US" w:eastAsia="zh-CN"/>
        </w:rPr>
        <w:t xml:space="preserve"> </w:t>
      </w:r>
    </w:p>
    <w:p>
      <w:pPr>
        <w:numPr>
          <w:numId w:val="0"/>
        </w:numPr>
        <w:autoSpaceDE w:val="0"/>
        <w:autoSpaceDN w:val="0"/>
        <w:adjustRightInd w:val="0"/>
        <w:spacing w:line="360" w:lineRule="auto"/>
        <w:ind w:leftChars="0" w:firstLine="480" w:firstLineChars="200"/>
        <w:jc w:val="left"/>
        <w:rPr>
          <w:rFonts w:cs="Calibri"/>
          <w:kern w:val="0"/>
          <w:sz w:val="24"/>
        </w:rPr>
      </w:pPr>
      <w:r>
        <w:rPr>
          <w:rFonts w:cs="TimesNewRomanPSMT"/>
          <w:kern w:val="0"/>
          <w:sz w:val="24"/>
        </w:rPr>
        <w:t xml:space="preserve">-0°C to 70°C </w:t>
      </w:r>
      <w:bookmarkStart w:id="1" w:name="_GoBack"/>
      <w:bookmarkEnd w:id="1"/>
    </w:p>
    <w:p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cs="Calibri"/>
          <w:kern w:val="0"/>
          <w:sz w:val="24"/>
        </w:rPr>
      </w:pPr>
      <w:r>
        <w:rPr>
          <w:rFonts w:cs="TimesNewRomanPSMT"/>
          <w:kern w:val="0"/>
          <w:sz w:val="24"/>
        </w:rPr>
        <w:t>RoHS compliant and Lead Free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eastAsia="微软雅黑"/>
          <w:i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151" w:firstLineChars="50"/>
        <w:jc w:val="left"/>
        <w:outlineLvl w:val="0"/>
        <w:rPr>
          <w:rFonts w:cs="Calibri"/>
          <w:b/>
          <w:bCs/>
          <w:kern w:val="0"/>
          <w:sz w:val="30"/>
        </w:rPr>
      </w:pPr>
      <w:r>
        <w:rPr>
          <w:rFonts w:cs="Calibri"/>
          <w:b/>
          <w:sz w:val="30"/>
        </w:rPr>
        <w:t>Applications:</w:t>
      </w:r>
    </w:p>
    <w:p>
      <w:pPr>
        <w:pStyle w:val="95"/>
        <w:numPr>
          <w:ilvl w:val="0"/>
          <w:numId w:val="14"/>
        </w:numPr>
        <w:tabs>
          <w:tab w:val="left" w:pos="630"/>
          <w:tab w:val="left" w:pos="9592"/>
        </w:tabs>
        <w:spacing w:line="300" w:lineRule="auto"/>
        <w:ind w:firstLineChars="0"/>
        <w:rPr>
          <w:sz w:val="24"/>
        </w:rPr>
      </w:pPr>
      <w:r>
        <w:rPr>
          <w:color w:val="000000"/>
          <w:sz w:val="24"/>
        </w:rPr>
        <w:t xml:space="preserve">SONET </w:t>
      </w:r>
      <w:r>
        <w:rPr>
          <w:sz w:val="24"/>
        </w:rPr>
        <w:t>OC-3/SDH STM-1</w:t>
      </w:r>
    </w:p>
    <w:p>
      <w:pPr>
        <w:pStyle w:val="95"/>
        <w:numPr>
          <w:ilvl w:val="0"/>
          <w:numId w:val="14"/>
        </w:numPr>
        <w:tabs>
          <w:tab w:val="left" w:pos="630"/>
          <w:tab w:val="left" w:pos="9592"/>
        </w:tabs>
        <w:spacing w:line="300" w:lineRule="auto"/>
        <w:ind w:firstLineChars="0"/>
        <w:rPr>
          <w:sz w:val="24"/>
        </w:rPr>
      </w:pPr>
      <w:r>
        <w:rPr>
          <w:sz w:val="24"/>
        </w:rPr>
        <w:t>Fast Ethernet</w:t>
      </w:r>
    </w:p>
    <w:p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sz w:val="24"/>
        </w:rPr>
        <w:t>Other Optical Links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eastAsia="MicrosoftYaHei-Identity-H"/>
          <w:kern w:val="0"/>
          <w:sz w:val="24"/>
        </w:rPr>
      </w:pPr>
    </w:p>
    <w:p>
      <w:pPr>
        <w:spacing w:line="360" w:lineRule="auto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Description:</w:t>
      </w:r>
    </w:p>
    <w:p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TIBTRONIX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TSPL1E40D </w:t>
      </w:r>
      <w:r>
        <w:rPr>
          <w:rFonts w:eastAsia="MS UI Gothic"/>
          <w:sz w:val="24"/>
        </w:rPr>
        <w:t xml:space="preserve">Transceiver is a high performance, cost effective module which </w:t>
      </w:r>
      <w:r>
        <w:rPr>
          <w:rFonts w:hint="eastAsia"/>
          <w:sz w:val="24"/>
        </w:rPr>
        <w:t xml:space="preserve">have a </w:t>
      </w:r>
      <w:r>
        <w:rPr>
          <w:rFonts w:hint="eastAsia" w:ascii="TimesNewRoman" w:hAnsi="TimesNewRoman" w:cs="TimesNewRoman"/>
          <w:kern w:val="0"/>
          <w:sz w:val="24"/>
        </w:rPr>
        <w:t>d</w:t>
      </w:r>
      <w:r>
        <w:rPr>
          <w:rFonts w:ascii="TimesNewRoman" w:hAnsi="TimesNewRoman" w:cs="TimesNewRoman"/>
          <w:kern w:val="0"/>
          <w:sz w:val="24"/>
        </w:rPr>
        <w:t>uplex LC</w:t>
      </w:r>
      <w:r>
        <w:rPr>
          <w:rFonts w:hint="eastAsia" w:ascii="TimesNewRoman" w:hAnsi="TimesNewRoman" w:cs="TimesNewRoman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4"/>
        </w:rPr>
        <w:t>o</w:t>
      </w:r>
      <w:r>
        <w:rPr>
          <w:rFonts w:eastAsia="MS UI Gothic"/>
          <w:kern w:val="0"/>
          <w:sz w:val="24"/>
        </w:rPr>
        <w:t>ptics interface</w:t>
      </w:r>
      <w:r>
        <w:rPr>
          <w:rFonts w:hint="eastAsia"/>
          <w:kern w:val="0"/>
          <w:sz w:val="24"/>
        </w:rPr>
        <w:t xml:space="preserve">. </w:t>
      </w:r>
      <w:r>
        <w:rPr>
          <w:rFonts w:hint="eastAsia"/>
          <w:sz w:val="24"/>
        </w:rPr>
        <w:t>S</w:t>
      </w:r>
      <w:r>
        <w:rPr>
          <w:rFonts w:eastAsia="MS UI Gothic"/>
          <w:sz w:val="24"/>
        </w:rPr>
        <w:t xml:space="preserve">tandard </w:t>
      </w:r>
      <w:r>
        <w:rPr>
          <w:sz w:val="24"/>
        </w:rPr>
        <w:t>AC coupled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/>
          <w:sz w:val="24"/>
        </w:rPr>
        <w:t xml:space="preserve">CML </w:t>
      </w:r>
      <w:r>
        <w:rPr>
          <w:rFonts w:eastAsia="MS UI Gothic"/>
          <w:sz w:val="24"/>
        </w:rPr>
        <w:t xml:space="preserve">for high speed signal and </w:t>
      </w:r>
      <w:r>
        <w:rPr>
          <w:rFonts w:hint="eastAsia"/>
          <w:sz w:val="24"/>
        </w:rPr>
        <w:t>LV</w:t>
      </w:r>
      <w:r>
        <w:rPr>
          <w:rFonts w:eastAsia="MS UI Gothic"/>
          <w:sz w:val="24"/>
        </w:rPr>
        <w:t xml:space="preserve">TTL </w:t>
      </w:r>
      <w:r>
        <w:rPr>
          <w:rFonts w:hint="eastAsia"/>
          <w:sz w:val="24"/>
        </w:rPr>
        <w:t>control and monitor signals</w:t>
      </w:r>
      <w:r>
        <w:rPr>
          <w:rFonts w:eastAsia="MS UI Gothic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>T</w:t>
      </w:r>
      <w:r>
        <w:rPr>
          <w:rFonts w:eastAsia="MS UI Gothic"/>
          <w:kern w:val="0"/>
          <w:sz w:val="24"/>
        </w:rPr>
        <w:t>he receiver</w:t>
      </w:r>
      <w:r>
        <w:rPr>
          <w:rFonts w:hint="eastAsia"/>
          <w:kern w:val="0"/>
          <w:sz w:val="24"/>
        </w:rPr>
        <w:t xml:space="preserve"> section</w:t>
      </w:r>
      <w:r>
        <w:rPr>
          <w:rFonts w:eastAsia="MS UI Gothic"/>
          <w:kern w:val="0"/>
          <w:sz w:val="24"/>
        </w:rPr>
        <w:t xml:space="preserve"> use</w:t>
      </w:r>
      <w:r>
        <w:rPr>
          <w:rFonts w:hint="eastAsia"/>
          <w:kern w:val="0"/>
          <w:sz w:val="24"/>
        </w:rPr>
        <w:t>s</w:t>
      </w:r>
      <w:r>
        <w:rPr>
          <w:rFonts w:eastAsia="MS UI Gothic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a PIN </w:t>
      </w:r>
      <w:r>
        <w:rPr>
          <w:rFonts w:eastAsia="MS UI Gothic"/>
          <w:kern w:val="0"/>
          <w:sz w:val="24"/>
        </w:rPr>
        <w:t>receiver and the transmitter use</w:t>
      </w:r>
      <w:r>
        <w:rPr>
          <w:rFonts w:hint="eastAsia"/>
          <w:kern w:val="0"/>
          <w:sz w:val="24"/>
        </w:rPr>
        <w:t>s</w:t>
      </w:r>
      <w:r>
        <w:rPr>
          <w:rFonts w:eastAsia="MS UI Gothic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a 1310</w:t>
      </w:r>
      <w:r>
        <w:rPr>
          <w:rFonts w:eastAsia="MS UI Gothic"/>
          <w:kern w:val="0"/>
          <w:sz w:val="24"/>
        </w:rPr>
        <w:t xml:space="preserve">nm </w:t>
      </w:r>
      <w:r>
        <w:rPr>
          <w:rFonts w:hint="eastAsia"/>
          <w:kern w:val="0"/>
          <w:sz w:val="24"/>
        </w:rPr>
        <w:t>FP</w:t>
      </w:r>
      <w:r>
        <w:rPr>
          <w:rFonts w:eastAsia="MS UI Gothic"/>
          <w:kern w:val="0"/>
          <w:sz w:val="24"/>
        </w:rPr>
        <w:t xml:space="preserve"> laser</w:t>
      </w:r>
      <w:r>
        <w:rPr>
          <w:rFonts w:hint="eastAsia"/>
          <w:sz w:val="24"/>
        </w:rPr>
        <w:t xml:space="preserve">, up to 29dB link budge ensure this module </w:t>
      </w:r>
      <w:r>
        <w:rPr>
          <w:rFonts w:hint="eastAsia"/>
          <w:color w:val="000000"/>
          <w:sz w:val="24"/>
        </w:rPr>
        <w:t xml:space="preserve">SONET </w:t>
      </w:r>
      <w:r>
        <w:rPr>
          <w:sz w:val="24"/>
        </w:rPr>
        <w:t>OC-3/</w:t>
      </w:r>
      <w:r>
        <w:rPr>
          <w:rFonts w:hint="eastAsia"/>
          <w:sz w:val="24"/>
        </w:rPr>
        <w:t xml:space="preserve">SDH </w:t>
      </w:r>
      <w:r>
        <w:rPr>
          <w:sz w:val="24"/>
        </w:rPr>
        <w:t>STM-1</w:t>
      </w:r>
      <w:r>
        <w:rPr>
          <w:rFonts w:hint="eastAsia"/>
          <w:sz w:val="24"/>
        </w:rPr>
        <w:t xml:space="preserve"> 40Km application.</w:t>
      </w: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eastAsia="宋体,Bold" w:cs="Calibri"/>
          <w:b/>
          <w:bCs/>
          <w:kern w:val="0"/>
          <w:sz w:val="30"/>
          <w:szCs w:val="30"/>
        </w:rPr>
      </w:pPr>
      <w:r>
        <w:rPr>
          <w:rFonts w:cs="Calibri"/>
          <w:b/>
          <w:bCs/>
          <w:kern w:val="0"/>
          <w:sz w:val="30"/>
          <w:szCs w:val="30"/>
        </w:rPr>
        <w:t>Absolute Maximum Ratings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3"/>
        <w:gridCol w:w="1241"/>
        <w:gridCol w:w="789"/>
        <w:gridCol w:w="1092"/>
        <w:gridCol w:w="83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left="315" w:leftChars="150" w:firstLine="251" w:firstLineChars="104"/>
              <w:jc w:val="center"/>
              <w:rPr>
                <w:rFonts w:eastAsia="MS UI Gothic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241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78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Min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Typical</w:t>
            </w:r>
          </w:p>
        </w:tc>
        <w:tc>
          <w:tcPr>
            <w:tcW w:w="835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Max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/>
                <w:b/>
                <w:bCs/>
                <w:sz w:val="24"/>
                <w:szCs w:val="24"/>
              </w:rPr>
            </w:pPr>
            <w:r>
              <w:rPr>
                <w:rFonts w:eastAsia="MS UI Gothic"/>
                <w:b/>
                <w:bCs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/>
                <w:kern w:val="0"/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Storage </w:t>
            </w:r>
            <w:r>
              <w:rPr>
                <w:kern w:val="0"/>
                <w:sz w:val="24"/>
                <w:szCs w:val="24"/>
              </w:rPr>
              <w:t>T</w:t>
            </w:r>
            <w:r>
              <w:rPr>
                <w:rFonts w:eastAsia="MS UI Gothic"/>
                <w:kern w:val="0"/>
                <w:sz w:val="24"/>
                <w:szCs w:val="24"/>
              </w:rPr>
              <w:t>emperature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eastAsia="MS UI Gothic"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MS UI Gothic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+85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eastAsia="MS UI Gothic"/>
                <w:kern w:val="0"/>
                <w:sz w:val="24"/>
                <w:szCs w:val="24"/>
              </w:rPr>
              <w:t xml:space="preserve">Supply </w:t>
            </w:r>
            <w:r>
              <w:rPr>
                <w:kern w:val="0"/>
                <w:sz w:val="24"/>
                <w:szCs w:val="24"/>
              </w:rPr>
              <w:t>V</w:t>
            </w:r>
            <w:r>
              <w:rPr>
                <w:rFonts w:eastAsia="MS UI Gothic"/>
                <w:kern w:val="0"/>
                <w:sz w:val="24"/>
                <w:szCs w:val="24"/>
              </w:rPr>
              <w:t>oltage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  <w:r>
              <w:rPr>
                <w:rFonts w:eastAsia="MS UI Gothic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-0.5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3" w:type="dxa"/>
          </w:tcPr>
          <w:p>
            <w:pPr>
              <w:spacing w:line="300" w:lineRule="auto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 xml:space="preserve">Relative </w:t>
            </w:r>
            <w:r>
              <w:rPr>
                <w:sz w:val="24"/>
                <w:szCs w:val="24"/>
              </w:rPr>
              <w:t>H</w:t>
            </w:r>
            <w:r>
              <w:rPr>
                <w:rFonts w:eastAsia="MS UI Gothic"/>
                <w:sz w:val="24"/>
                <w:szCs w:val="24"/>
              </w:rPr>
              <w:t>umidity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RH</w:t>
            </w:r>
          </w:p>
        </w:tc>
        <w:tc>
          <w:tcPr>
            <w:tcW w:w="789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eastAsia="MS UI Gothic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auto"/>
              <w:jc w:val="center"/>
              <w:rPr>
                <w:rFonts w:eastAsia="MS UI Gothic"/>
                <w:sz w:val="24"/>
                <w:szCs w:val="24"/>
              </w:rPr>
            </w:pPr>
            <w:r>
              <w:rPr>
                <w:rFonts w:eastAsia="MS UI Gothic"/>
                <w:sz w:val="24"/>
                <w:szCs w:val="24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00" w:lineRule="auto"/>
        <w:jc w:val="left"/>
        <w:rPr>
          <w:rFonts w:eastAsia="宋体,Bold" w:cs="Calibri"/>
          <w:b/>
          <w:bCs/>
          <w:kern w:val="0"/>
          <w:sz w:val="30"/>
          <w:szCs w:val="30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kern w:val="0"/>
          <w:szCs w:val="21"/>
        </w:rPr>
      </w:pPr>
      <w:r>
        <w:rPr>
          <w:rFonts w:cs="Calibri"/>
          <w:b/>
          <w:bCs/>
          <w:sz w:val="30"/>
          <w:szCs w:val="30"/>
        </w:rPr>
        <w:t>Recommended</w:t>
      </w:r>
      <w:r>
        <w:rPr>
          <w:rFonts w:cs="Calibri"/>
          <w:b/>
          <w:sz w:val="30"/>
          <w:szCs w:val="30"/>
        </w:rPr>
        <w:t xml:space="preserve"> Operating Environment: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2"/>
        <w:gridCol w:w="1470"/>
        <w:gridCol w:w="1152"/>
        <w:gridCol w:w="1026"/>
        <w:gridCol w:w="1052"/>
        <w:gridCol w:w="114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tcBorders>
              <w:bottom w:val="single" w:color="auto" w:sz="4" w:space="0"/>
            </w:tcBorders>
            <w:shd w:val="clear" w:color="auto" w:fill="A6A6A6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shd w:val="clear" w:color="auto" w:fill="A6A6A6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026" w:type="dxa"/>
            <w:shd w:val="clear" w:color="auto" w:fill="A6A6A6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A6A6A6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82" w:type="dxa"/>
            <w:shd w:val="clear" w:color="auto" w:fill="A6A6A6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32" w:type="dxa"/>
            <w:vMerge w:val="restart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Case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MS UI Gothic" w:cs="Calibri"/>
                <w:sz w:val="24"/>
                <w:szCs w:val="24"/>
              </w:rPr>
              <w:t xml:space="preserve">operating </w:t>
            </w:r>
            <w:r>
              <w:rPr>
                <w:rFonts w:cs="Calibri"/>
                <w:sz w:val="24"/>
                <w:szCs w:val="24"/>
              </w:rPr>
              <w:t>T</w:t>
            </w:r>
            <w:r>
              <w:rPr>
                <w:rFonts w:eastAsia="MS UI Gothic" w:cs="Calibri"/>
                <w:sz w:val="24"/>
                <w:szCs w:val="24"/>
              </w:rPr>
              <w:t>emperature</w:t>
            </w:r>
          </w:p>
        </w:tc>
        <w:tc>
          <w:tcPr>
            <w:tcW w:w="1470" w:type="dxa"/>
            <w:shd w:val="clear" w:color="auto" w:fill="FFFFFF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Industrial</w:t>
            </w:r>
          </w:p>
        </w:tc>
        <w:tc>
          <w:tcPr>
            <w:tcW w:w="1152" w:type="dxa"/>
            <w:vMerge w:val="restart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T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-40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3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Extended</w:t>
            </w:r>
          </w:p>
        </w:tc>
        <w:tc>
          <w:tcPr>
            <w:tcW w:w="115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3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pacing w:line="30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Commercial</w:t>
            </w:r>
          </w:p>
        </w:tc>
        <w:tc>
          <w:tcPr>
            <w:tcW w:w="1152" w:type="dxa"/>
            <w:vMerge w:val="continue"/>
            <w:shd w:val="clear" w:color="auto" w:fill="FFFFFF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+70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>
            <w:pPr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Supply </w:t>
            </w:r>
            <w:r>
              <w:rPr>
                <w:rFonts w:cs="Calibri"/>
                <w:kern w:val="0"/>
                <w:sz w:val="24"/>
                <w:szCs w:val="24"/>
              </w:rPr>
              <w:t>V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oltage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135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3.</w:t>
            </w:r>
            <w:r>
              <w:rPr>
                <w:rFonts w:cs="Calibri"/>
                <w:sz w:val="24"/>
                <w:szCs w:val="24"/>
              </w:rPr>
              <w:t>465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Supply Current</w:t>
            </w:r>
          </w:p>
        </w:tc>
        <w:tc>
          <w:tcPr>
            <w:tcW w:w="1152" w:type="dxa"/>
            <w:shd w:val="clear" w:color="auto" w:fill="FFFFFF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Icc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300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Inrush Current</w:t>
            </w:r>
          </w:p>
        </w:tc>
        <w:tc>
          <w:tcPr>
            <w:tcW w:w="1152" w:type="dxa"/>
            <w:shd w:val="clear" w:color="auto" w:fill="FFFFFF"/>
          </w:tcPr>
          <w:p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</w:t>
            </w:r>
            <w:r>
              <w:rPr>
                <w:kern w:val="0"/>
                <w:sz w:val="24"/>
                <w:szCs w:val="24"/>
                <w:vertAlign w:val="subscript"/>
              </w:rPr>
              <w:t>surge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Icc+30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2" w:type="dxa"/>
            <w:gridSpan w:val="2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Maximum Power</w:t>
            </w:r>
          </w:p>
        </w:tc>
        <w:tc>
          <w:tcPr>
            <w:tcW w:w="1152" w:type="dxa"/>
            <w:shd w:val="clear" w:color="auto" w:fill="FFFFFF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</w:t>
            </w:r>
            <w:r>
              <w:rPr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02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W</w:t>
            </w:r>
          </w:p>
        </w:tc>
      </w:tr>
    </w:tbl>
    <w:p>
      <w:pPr>
        <w:spacing w:line="300" w:lineRule="auto"/>
        <w:outlineLvl w:val="0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Electrical Characteristics(T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 </w:t>
      </w:r>
      <w:r>
        <w:rPr>
          <w:rFonts w:hint="eastAsia"/>
          <w:b/>
          <w:bCs/>
          <w:kern w:val="0"/>
          <w:sz w:val="30"/>
          <w:szCs w:val="30"/>
        </w:rPr>
        <w:t>-40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85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 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2"/>
        <w:gridCol w:w="1178"/>
        <w:gridCol w:w="1207"/>
        <w:gridCol w:w="1096"/>
        <w:gridCol w:w="1148"/>
        <w:gridCol w:w="99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b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7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207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148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879" w:type="dxa"/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cs="Calibri"/>
                <w:color w:val="FFFF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Input differential impedance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R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90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eastAsia="MingLiU" w:cs="Calibri"/>
                <w:sz w:val="24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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Single ended data input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n 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250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>
              <w:rPr>
                <w:rFonts w:eastAsia="MingLiU" w:cs="Calibri"/>
                <w:sz w:val="24"/>
                <w:szCs w:val="24"/>
              </w:rPr>
              <w:t>Vp-p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Disable Voltage 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 – 1.3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 xml:space="preserve">Transmit Enable Voltage 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EN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Vee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Vee+ 0.8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Transmit Disable Assert Time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  <w:vertAlign w:val="subscript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dessert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us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ingLiU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pStyle w:val="96"/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rPr>
                <w:rFonts w:hint="default" w:ascii="Calibri" w:hAnsi="Calibri" w:eastAsia="MingLiU" w:cs="Calibri"/>
              </w:rPr>
            </w:pPr>
            <w:r>
              <w:rPr>
                <w:rFonts w:hint="default" w:ascii="Calibri" w:hAnsi="Calibri" w:eastAsia="MingLiU" w:cs="Calibri"/>
              </w:rPr>
              <w:t>Single ended data output swing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Vout,pp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300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8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mv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Data output rise time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t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Data output fall time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t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Fault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losfault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Vcc – 0.5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CC_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host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LOS Normal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los nor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ee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V</w:t>
            </w:r>
            <w:r>
              <w:rPr>
                <w:rFonts w:eastAsia="MingLiU" w:cs="Calibri"/>
                <w:kern w:val="0"/>
                <w:sz w:val="24"/>
                <w:szCs w:val="24"/>
                <w:vertAlign w:val="subscript"/>
              </w:rPr>
              <w:t>ee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+0.5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V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Power Supply Rejection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PSR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1</w:t>
            </w:r>
            <w:r>
              <w:rPr>
                <w:rFonts w:eastAsia="MingLiU" w:cs="Calibri"/>
                <w:kern w:val="0"/>
                <w:sz w:val="24"/>
                <w:szCs w:val="24"/>
              </w:rPr>
              <w:t>00</w:t>
            </w:r>
          </w:p>
        </w:tc>
        <w:tc>
          <w:tcPr>
            <w:tcW w:w="1096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ingLiU" w:cs="Calibri"/>
                <w:kern w:val="0"/>
                <w:sz w:val="24"/>
                <w:szCs w:val="24"/>
              </w:rPr>
            </w:pPr>
            <w:r>
              <w:rPr>
                <w:rFonts w:eastAsia="MingLiU" w:cs="Calibri"/>
                <w:kern w:val="0"/>
                <w:sz w:val="24"/>
                <w:szCs w:val="24"/>
              </w:rPr>
              <w:t>mVpp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6</w:t>
            </w:r>
          </w:p>
        </w:tc>
      </w:tr>
    </w:tbl>
    <w:p>
      <w:pPr>
        <w:autoSpaceDE w:val="0"/>
        <w:autoSpaceDN w:val="0"/>
        <w:adjustRightInd w:val="0"/>
        <w:ind w:left="313" w:leftChars="149" w:firstLine="1"/>
        <w:jc w:val="left"/>
        <w:rPr>
          <w:kern w:val="0"/>
          <w:szCs w:val="21"/>
        </w:rPr>
      </w:pPr>
      <w:r>
        <w:rPr>
          <w:kern w:val="0"/>
          <w:szCs w:val="21"/>
        </w:rPr>
        <w:t>Note: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AC coupled.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Or open circuit.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Into 100 ohm differential termination.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20 – 80 %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LOS is LVTTL. Logic 0 indicates normal operation; logic 1 indicates no signal detected.</w:t>
      </w:r>
    </w:p>
    <w:p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kern w:val="0"/>
          <w:szCs w:val="21"/>
        </w:rPr>
        <w:t>All transceiver specifications are compliant with a power supply sinusoidal modulation of 20 Hz to 1.5MHz up to specified value applied through the power supply filtering network shown on page 23 of the Small Form-factor Pluggable (SFP) Transceiver Multi</w:t>
      </w: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Source Agreement (MSA), September 14, 2000.</w:t>
      </w:r>
    </w:p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b/>
          <w:szCs w:val="21"/>
        </w:rPr>
      </w:pPr>
      <w:r>
        <w:rPr>
          <w:b/>
          <w:bCs/>
          <w:kern w:val="0"/>
          <w:sz w:val="30"/>
          <w:szCs w:val="30"/>
        </w:rPr>
        <w:t>Optical Parameters(T</w:t>
      </w:r>
      <w:r>
        <w:rPr>
          <w:b/>
          <w:bCs/>
          <w:kern w:val="0"/>
          <w:sz w:val="30"/>
          <w:szCs w:val="30"/>
          <w:vertAlign w:val="subscript"/>
        </w:rPr>
        <w:t>OP</w:t>
      </w:r>
      <w:r>
        <w:rPr>
          <w:b/>
          <w:bCs/>
          <w:kern w:val="0"/>
          <w:sz w:val="30"/>
          <w:szCs w:val="30"/>
        </w:rPr>
        <w:t xml:space="preserve"> = </w:t>
      </w:r>
      <w:r>
        <w:rPr>
          <w:rFonts w:hint="eastAsia"/>
          <w:b/>
          <w:bCs/>
          <w:kern w:val="0"/>
          <w:sz w:val="30"/>
          <w:szCs w:val="30"/>
        </w:rPr>
        <w:t>-40</w:t>
      </w:r>
      <w:r>
        <w:rPr>
          <w:b/>
          <w:bCs/>
          <w:kern w:val="0"/>
          <w:sz w:val="30"/>
          <w:szCs w:val="30"/>
        </w:rPr>
        <w:t xml:space="preserve"> to </w:t>
      </w:r>
      <w:r>
        <w:rPr>
          <w:rFonts w:hint="eastAsia"/>
          <w:b/>
          <w:bCs/>
          <w:kern w:val="0"/>
          <w:sz w:val="30"/>
          <w:szCs w:val="30"/>
        </w:rPr>
        <w:t>85</w:t>
      </w:r>
      <w:r>
        <w:rPr>
          <w:kern w:val="0"/>
          <w:sz w:val="30"/>
          <w:szCs w:val="30"/>
        </w:rPr>
        <w:t>°</w:t>
      </w:r>
      <w:r>
        <w:rPr>
          <w:b/>
          <w:bCs/>
          <w:kern w:val="0"/>
          <w:sz w:val="30"/>
          <w:szCs w:val="30"/>
        </w:rPr>
        <w:t>C, VCC = 3.</w:t>
      </w:r>
      <w:r>
        <w:rPr>
          <w:rFonts w:hint="eastAsia"/>
          <w:b/>
          <w:bCs/>
          <w:kern w:val="0"/>
          <w:sz w:val="30"/>
          <w:szCs w:val="30"/>
        </w:rPr>
        <w:t>135</w:t>
      </w:r>
      <w:r>
        <w:rPr>
          <w:b/>
          <w:bCs/>
          <w:kern w:val="0"/>
          <w:sz w:val="30"/>
          <w:szCs w:val="30"/>
        </w:rPr>
        <w:t xml:space="preserve"> to 3.</w:t>
      </w:r>
      <w:r>
        <w:rPr>
          <w:rFonts w:hint="eastAsia"/>
          <w:b/>
          <w:bCs/>
          <w:kern w:val="0"/>
          <w:sz w:val="30"/>
          <w:szCs w:val="30"/>
        </w:rPr>
        <w:t>465</w:t>
      </w:r>
      <w:r>
        <w:rPr>
          <w:b/>
          <w:bCs/>
          <w:kern w:val="0"/>
          <w:sz w:val="30"/>
          <w:szCs w:val="30"/>
        </w:rPr>
        <w:t xml:space="preserve"> Volts)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7"/>
        <w:gridCol w:w="1152"/>
        <w:gridCol w:w="1060"/>
        <w:gridCol w:w="1269"/>
        <w:gridCol w:w="1060"/>
        <w:gridCol w:w="84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bCs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Symbol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Min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Typical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Max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eastAsia="MS UI Gothic" w:cs="Calibri"/>
                <w:b/>
                <w:sz w:val="24"/>
                <w:szCs w:val="24"/>
              </w:rPr>
            </w:pPr>
            <w:r>
              <w:rPr>
                <w:rFonts w:eastAsia="MS UI Gothic" w:cs="Calibri"/>
                <w:b/>
                <w:sz w:val="24"/>
                <w:szCs w:val="24"/>
              </w:rPr>
              <w:t>Unit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kern w:val="0"/>
                <w:sz w:val="24"/>
                <w:szCs w:val="24"/>
              </w:rPr>
              <w:t>Transmitter Section: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Center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1260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1310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13</w:t>
            </w:r>
            <w:r>
              <w:rPr>
                <w:rFonts w:cs="Calibri"/>
                <w:kern w:val="0"/>
                <w:sz w:val="24"/>
                <w:szCs w:val="24"/>
              </w:rPr>
              <w:t>60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Spectral Width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σ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7.7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Output Power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out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Optical Rise/Fall Time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r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 / t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ps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Extinction Ratio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ER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Generated Jitter (peak to peak)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J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TX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p-p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0.07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UI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Generated Jitter (rms)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J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TX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rms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0.07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UI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Eye Mask for Optical Output</w:t>
            </w:r>
          </w:p>
        </w:tc>
        <w:tc>
          <w:tcPr>
            <w:tcW w:w="5388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Compliant with G.957(class 1 laser safety)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25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Receiver Section: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ind w:right="-84" w:rightChars="-40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Optical Input Wavelength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λ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1260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1600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nm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Receiver </w:t>
            </w:r>
            <w:r>
              <w:rPr>
                <w:rFonts w:cs="Calibri"/>
                <w:kern w:val="0"/>
                <w:sz w:val="24"/>
                <w:szCs w:val="24"/>
              </w:rPr>
              <w:t>O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verload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P</w:t>
            </w:r>
            <w:r>
              <w:rPr>
                <w:rFonts w:eastAsia="MS UI Gothic" w:cs="Calibri"/>
                <w:sz w:val="24"/>
                <w:szCs w:val="24"/>
                <w:vertAlign w:val="subscript"/>
              </w:rPr>
              <w:t>ol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8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 </w:t>
            </w:r>
            <w:r>
              <w:rPr>
                <w:rFonts w:cs="Calibri"/>
                <w:kern w:val="0"/>
                <w:sz w:val="24"/>
                <w:szCs w:val="24"/>
              </w:rPr>
              <w:t>S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>ensitivity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Sen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34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eastAsia="MS UI Gothic" w:cs="Calibri"/>
                <w:sz w:val="24"/>
                <w:szCs w:val="24"/>
              </w:rPr>
              <w:t>m</w:t>
            </w:r>
          </w:p>
        </w:tc>
        <w:tc>
          <w:tcPr>
            <w:tcW w:w="73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RX_LOS 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A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4</w:t>
            </w:r>
            <w:r>
              <w:rPr>
                <w:rFonts w:hint="eastAsia" w:cs="Calibri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De</w:t>
            </w:r>
            <w:r>
              <w:rPr>
                <w:rFonts w:cs="Calibri"/>
                <w:kern w:val="0"/>
                <w:sz w:val="24"/>
                <w:szCs w:val="24"/>
              </w:rPr>
              <w:t>-</w:t>
            </w: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assert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LOS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 xml:space="preserve"> D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-</w:t>
            </w:r>
            <w:r>
              <w:rPr>
                <w:rFonts w:hint="eastAsia" w:cs="Calibri"/>
                <w:sz w:val="24"/>
                <w:szCs w:val="24"/>
              </w:rPr>
              <w:t>35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RX_LOS Hysteresis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 xml:space="preserve">LOS </w:t>
            </w:r>
            <w:r>
              <w:rPr>
                <w:rFonts w:eastAsia="MS UI Gothic" w:cs="Calibri"/>
                <w:kern w:val="0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0.5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7"/>
            <w:shd w:val="clear" w:color="auto" w:fill="FFFFFF"/>
            <w:vAlign w:val="center"/>
          </w:tcPr>
          <w:p>
            <w:pPr>
              <w:spacing w:line="300" w:lineRule="auto"/>
              <w:rPr>
                <w:rFonts w:eastAsia="MS UI Gothic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0"/>
                <w:sz w:val="24"/>
                <w:szCs w:val="24"/>
              </w:rPr>
              <w:t>General Specifications: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Data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BR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155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Mb/s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Bit Error Rate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BER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 xml:space="preserve">Max. Supported Link Length on </w:t>
            </w:r>
            <w:r>
              <w:rPr>
                <w:rFonts w:hint="eastAsia" w:cs="Calibri"/>
                <w:kern w:val="0"/>
                <w:sz w:val="24"/>
                <w:szCs w:val="24"/>
              </w:rPr>
              <w:t>9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/125μm </w:t>
            </w:r>
            <w:r>
              <w:rPr>
                <w:rFonts w:hint="eastAsia" w:cs="Calibri"/>
                <w:kern w:val="0"/>
                <w:sz w:val="24"/>
                <w:szCs w:val="24"/>
              </w:rPr>
              <w:t>S</w:t>
            </w:r>
            <w:r>
              <w:rPr>
                <w:rFonts w:cs="Calibri"/>
                <w:kern w:val="0"/>
                <w:sz w:val="24"/>
                <w:szCs w:val="24"/>
              </w:rPr>
              <w:t>MF@155Mb/s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L</w:t>
            </w:r>
            <w:r>
              <w:rPr>
                <w:rFonts w:cs="Calibri"/>
                <w:kern w:val="0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40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km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837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Total System Budget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 w:cs="Calibri"/>
                <w:kern w:val="0"/>
                <w:sz w:val="24"/>
                <w:szCs w:val="24"/>
              </w:rPr>
            </w:pPr>
            <w:r>
              <w:rPr>
                <w:rFonts w:eastAsia="MS UI Gothic" w:cs="Calibri"/>
                <w:kern w:val="0"/>
                <w:sz w:val="24"/>
                <w:szCs w:val="24"/>
              </w:rPr>
              <w:t>LB</w:t>
            </w: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29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eastAsia="MS UI Gothic" w:cs="Calibri"/>
                <w:sz w:val="24"/>
                <w:szCs w:val="24"/>
              </w:rPr>
            </w:pPr>
            <w:r>
              <w:rPr>
                <w:rFonts w:eastAsia="MS UI Gothic" w:cs="Calibri"/>
                <w:sz w:val="24"/>
                <w:szCs w:val="24"/>
              </w:rPr>
              <w:t>dB</w:t>
            </w:r>
          </w:p>
        </w:tc>
        <w:tc>
          <w:tcPr>
            <w:tcW w:w="737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182" w:firstLineChars="87"/>
        <w:rPr>
          <w:szCs w:val="21"/>
        </w:rPr>
      </w:pPr>
      <w:r>
        <w:rPr>
          <w:rFonts w:hint="eastAsia"/>
          <w:szCs w:val="21"/>
        </w:rPr>
        <w:t>Note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The optical power is launched into </w:t>
      </w:r>
      <w:r>
        <w:rPr>
          <w:rFonts w:hint="eastAsia"/>
          <w:kern w:val="0"/>
          <w:szCs w:val="21"/>
        </w:rPr>
        <w:t>S</w:t>
      </w:r>
      <w:r>
        <w:rPr>
          <w:kern w:val="0"/>
          <w:szCs w:val="21"/>
        </w:rPr>
        <w:t>MF</w:t>
      </w:r>
      <w:r>
        <w:rPr>
          <w:rFonts w:hint="eastAsia"/>
          <w:kern w:val="0"/>
          <w:szCs w:val="21"/>
        </w:rPr>
        <w:t>.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20-80%. 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>Jitter measurements taken using Agilent OMNIBERT 718 in accordance with GR-253.</w:t>
      </w:r>
    </w:p>
    <w:p>
      <w:pPr>
        <w:numPr>
          <w:ilvl w:val="0"/>
          <w:numId w:val="18"/>
        </w:numPr>
        <w:tabs>
          <w:tab w:val="left" w:pos="735"/>
          <w:tab w:val="clear" w:pos="945"/>
        </w:tabs>
        <w:autoSpaceDE w:val="0"/>
        <w:autoSpaceDN w:val="0"/>
        <w:adjustRightInd w:val="0"/>
        <w:ind w:left="735" w:leftChars="200" w:hanging="315" w:hangingChars="150"/>
        <w:jc w:val="left"/>
        <w:rPr>
          <w:kern w:val="0"/>
          <w:szCs w:val="21"/>
        </w:rPr>
      </w:pPr>
      <w:r>
        <w:rPr>
          <w:kern w:val="0"/>
          <w:szCs w:val="21"/>
        </w:rPr>
        <w:t>Measured with PRBS 2</w:t>
      </w:r>
      <w:r>
        <w:rPr>
          <w:kern w:val="0"/>
          <w:szCs w:val="21"/>
          <w:vertAlign w:val="superscript"/>
        </w:rPr>
        <w:t>7-1</w:t>
      </w:r>
      <w:r>
        <w:rPr>
          <w:kern w:val="0"/>
          <w:szCs w:val="21"/>
        </w:rPr>
        <w:t xml:space="preserve"> at 10</w:t>
      </w:r>
      <w:r>
        <w:rPr>
          <w:kern w:val="0"/>
          <w:szCs w:val="21"/>
          <w:vertAlign w:val="superscript"/>
        </w:rPr>
        <w:t>-12</w:t>
      </w:r>
      <w:r>
        <w:rPr>
          <w:kern w:val="0"/>
          <w:szCs w:val="21"/>
        </w:rPr>
        <w:t xml:space="preserve"> BER</w:t>
      </w:r>
    </w:p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b/>
          <w:kern w:val="0"/>
          <w:sz w:val="30"/>
          <w:szCs w:val="30"/>
        </w:rPr>
      </w:pPr>
      <w:r>
        <w:rPr>
          <w:b/>
          <w:sz w:val="30"/>
          <w:szCs w:val="30"/>
        </w:rPr>
        <w:t>Pin Assignment</w:t>
      </w:r>
    </w:p>
    <w:p>
      <w:pPr>
        <w:pStyle w:val="95"/>
        <w:ind w:left="420" w:firstLine="0" w:firstLineChars="0"/>
        <w:rPr>
          <w:sz w:val="24"/>
        </w:rPr>
      </w:pPr>
      <w:r>
        <w:rPr>
          <w:sz w:val="24"/>
        </w:rPr>
        <w:t>Diagram of Host Board Connector Block Pin Numbers and Name</w:t>
      </w:r>
    </w:p>
    <w:p>
      <w:pPr>
        <w:pStyle w:val="95"/>
        <w:ind w:left="420"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27" o:spt="75" type="#_x0000_t75" style="height:239.1pt;width:322.6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WPS.Doc.6" ShapeID="_x0000_i1027" DrawAspect="Content" ObjectID="_1468075725" r:id="rId8">
            <o:LockedField>false</o:LockedField>
          </o:OLEObject>
        </w:object>
      </w:r>
    </w:p>
    <w:p>
      <w:pPr>
        <w:pStyle w:val="95"/>
        <w:ind w:left="420" w:firstLine="0" w:firstLineChars="0"/>
        <w:jc w:val="center"/>
        <w:rPr>
          <w:szCs w:val="21"/>
        </w:rPr>
      </w:pPr>
      <w:r>
        <w:rPr>
          <w:rFonts w:cs="Arial"/>
          <w:b/>
          <w:kern w:val="0"/>
          <w:szCs w:val="21"/>
        </w:rPr>
        <w:t>Diagram of Host Board Connector Block Pin Numbers and Names</w:t>
      </w:r>
    </w:p>
    <w:p>
      <w:pPr>
        <w:pStyle w:val="95"/>
        <w:ind w:left="420" w:firstLine="0" w:firstLineChars="0"/>
        <w:rPr>
          <w:b/>
          <w:sz w:val="30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kern w:val="0"/>
          <w:sz w:val="30"/>
          <w:szCs w:val="30"/>
        </w:rPr>
      </w:pPr>
      <w:r>
        <w:rPr>
          <w:b/>
          <w:bCs/>
          <w:sz w:val="30"/>
          <w:szCs w:val="30"/>
        </w:rPr>
        <w:t xml:space="preserve">Pin </w:t>
      </w:r>
      <w:r>
        <w:rPr>
          <w:b/>
          <w:bCs/>
          <w:kern w:val="0"/>
          <w:sz w:val="30"/>
          <w:szCs w:val="30"/>
        </w:rPr>
        <w:t>Function Definitions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44"/>
        <w:gridCol w:w="4015"/>
        <w:gridCol w:w="16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Pin No</w:t>
            </w:r>
          </w:p>
        </w:tc>
        <w:tc>
          <w:tcPr>
            <w:tcW w:w="1844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015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Function</w:t>
            </w:r>
          </w:p>
        </w:tc>
        <w:tc>
          <w:tcPr>
            <w:tcW w:w="1614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Plug Seq</w:t>
            </w:r>
          </w:p>
        </w:tc>
        <w:tc>
          <w:tcPr>
            <w:tcW w:w="1199" w:type="dxa"/>
            <w:shd w:val="clear" w:color="auto" w:fill="666666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Fault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Fault Indication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TX Disable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Disable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MOD-DEF2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MOD-DEF1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1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MOD-DEF0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Module Definition 0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Rate Select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Not Connected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Loss of Signal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RD-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Received Data Out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RD+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Received Data Out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Receiver Ground 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VccR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Receiver Power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VccT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Power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TD+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 Data In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TD-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Inv. Transmit In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VeeT</w:t>
            </w:r>
          </w:p>
        </w:tc>
        <w:tc>
          <w:tcPr>
            <w:tcW w:w="40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color w:val="000000"/>
                <w:kern w:val="0"/>
                <w:sz w:val="24"/>
                <w:szCs w:val="24"/>
              </w:rPr>
              <w:t>Transmitter Ground</w:t>
            </w:r>
          </w:p>
        </w:tc>
        <w:tc>
          <w:tcPr>
            <w:tcW w:w="161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211" w:firstLineChars="100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Notes: 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Circuit ground is internally isolated from chassis ground.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Laser output disabled on TDIS &gt;2.0V or open, enabled on TDIS &lt;0.8V.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Should be pulled up with 4.7k - 10 kohms on host board to a voltage between 2.0V and 3.6V.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MOD_DEF(0) pulls line low to indicate module is plugged in.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Rate select is not used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kern w:val="0"/>
          <w:szCs w:val="21"/>
        </w:rPr>
        <w:t>LOS is open collector output. Should be pulled up with 4.7k – 10 kohms on host board to a voltage between 2.0V and 3.6V. Logic 0 indicates normal operation; logic 1 indicates loss of signal.</w:t>
      </w:r>
    </w:p>
    <w:p>
      <w:pPr>
        <w:numPr>
          <w:ilvl w:val="0"/>
          <w:numId w:val="19"/>
        </w:numPr>
        <w:tabs>
          <w:tab w:val="left" w:pos="945"/>
          <w:tab w:val="clear" w:pos="420"/>
        </w:tabs>
        <w:autoSpaceDE w:val="0"/>
        <w:autoSpaceDN w:val="0"/>
        <w:adjustRightInd w:val="0"/>
        <w:ind w:left="959" w:leftChars="300" w:hanging="329" w:hangingChars="157"/>
        <w:jc w:val="left"/>
        <w:rPr>
          <w:kern w:val="0"/>
          <w:szCs w:val="21"/>
        </w:rPr>
      </w:pPr>
      <w:r>
        <w:rPr>
          <w:rFonts w:cs="TimesNewRoman"/>
          <w:kern w:val="0"/>
          <w:szCs w:val="21"/>
        </w:rPr>
        <w:t>AC Coupled</w:t>
      </w:r>
    </w:p>
    <w:p/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outlineLvl w:val="0"/>
        <w:rPr>
          <w:rFonts w:cs="Calibri"/>
          <w:kern w:val="0"/>
          <w:sz w:val="30"/>
          <w:szCs w:val="30"/>
        </w:rPr>
      </w:pPr>
      <w:r>
        <w:rPr>
          <w:b/>
          <w:color w:val="000000"/>
          <w:kern w:val="0"/>
          <w:sz w:val="30"/>
          <w:szCs w:val="30"/>
        </w:rPr>
        <w:t xml:space="preserve">SFP Module </w:t>
      </w:r>
      <w:r>
        <w:rPr>
          <w:b/>
          <w:bCs/>
          <w:color w:val="000000"/>
          <w:kern w:val="0"/>
          <w:sz w:val="30"/>
          <w:szCs w:val="30"/>
        </w:rPr>
        <w:t>EEPROM Information</w:t>
      </w:r>
      <w:r>
        <w:rPr>
          <w:b/>
          <w:color w:val="000000"/>
          <w:kern w:val="0"/>
          <w:sz w:val="30"/>
          <w:szCs w:val="30"/>
        </w:rPr>
        <w:t xml:space="preserve"> and Management</w:t>
      </w:r>
    </w:p>
    <w:p>
      <w:pPr>
        <w:pStyle w:val="95"/>
        <w:ind w:left="42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The SFP modules implement the 2-wire serial communication protocol as defined in the SFP </w:t>
      </w:r>
      <w:r>
        <w:rPr>
          <w:kern w:val="0"/>
          <w:sz w:val="24"/>
          <w:szCs w:val="24"/>
        </w:rPr>
        <w:t>-8472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serial ID information of the SFP modules and Digital Diagnostic Monitor parameters can be accessed through the 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C interface at address A0h and A2h. The memory is mapped in Table 1. Detailed ID information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(A0h) is listed in Table 2. And the DDM specification at address A2h. For more details of the memory map and byte definitions, please refer to the SFF-8472, “Digital Diagnostic Monitoring Interface for Optical Transceivers”.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The DDM parameters have been internally calibrated.</w:t>
      </w:r>
    </w:p>
    <w:p>
      <w:pPr>
        <w:pStyle w:val="95"/>
        <w:ind w:left="420" w:firstLine="0" w:firstLineChars="0"/>
        <w:rPr>
          <w:sz w:val="24"/>
          <w:szCs w:val="24"/>
        </w:rPr>
      </w:pPr>
    </w:p>
    <w:p>
      <w:pPr>
        <w:ind w:firstLine="354" w:firstLineChars="147"/>
        <w:rPr>
          <w:sz w:val="24"/>
        </w:rPr>
      </w:pPr>
      <w:r>
        <w:rPr>
          <w:b/>
          <w:sz w:val="24"/>
        </w:rPr>
        <w:t>Table 1.</w:t>
      </w:r>
      <w:r>
        <w:rPr>
          <w:sz w:val="24"/>
        </w:rPr>
        <w:t xml:space="preserve"> Digital Diagnostic Memory Map (Specific Data Field Descriptions)</w:t>
      </w:r>
    </w:p>
    <w:p>
      <w:pPr>
        <w:ind w:firstLine="352" w:firstLineChars="147"/>
        <w:rPr>
          <w:sz w:val="24"/>
        </w:rPr>
      </w:pPr>
    </w:p>
    <w:p>
      <w:pPr>
        <w:ind w:firstLine="352" w:firstLineChars="147"/>
        <w:jc w:val="center"/>
        <w:rPr>
          <w:sz w:val="24"/>
        </w:rPr>
      </w:pPr>
      <w:r>
        <w:rPr>
          <w:sz w:val="24"/>
        </w:rPr>
        <w:pict>
          <v:shape id="_x0000_i1028" o:spt="75" type="#_x0000_t75" style="height:192.9pt;width:257.4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 xml:space="preserve">Table 2 </w:t>
      </w:r>
      <w:r>
        <w:rPr>
          <w:kern w:val="0"/>
          <w:sz w:val="24"/>
        </w:rPr>
        <w:t>-</w:t>
      </w:r>
      <w:r>
        <w:rPr>
          <w:kern w:val="0"/>
          <w:szCs w:val="21"/>
        </w:rPr>
        <w:t xml:space="preserve"> </w:t>
      </w:r>
      <w:r>
        <w:rPr>
          <w:kern w:val="0"/>
          <w:sz w:val="24"/>
        </w:rPr>
        <w:t>EEPROM Serial ID Memory Contents (</w:t>
      </w:r>
      <w:r>
        <w:rPr>
          <w:b/>
          <w:bCs/>
          <w:kern w:val="0"/>
          <w:sz w:val="24"/>
        </w:rPr>
        <w:t>A0h</w:t>
      </w:r>
      <w:r>
        <w:rPr>
          <w:kern w:val="0"/>
          <w:sz w:val="24"/>
        </w:rPr>
        <w:t>)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6"/>
        <w:gridCol w:w="1867"/>
        <w:gridCol w:w="5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Data Address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(Byte)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Name of</w:t>
            </w:r>
          </w:p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5665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Description and Contents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Base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Identifier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Type of Serial transceiver (03h=SFP)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identifier of type serial transceiver (04h)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Connector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Code of optical connector type (07=LC)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3-10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Transceiver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Encoding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NRZ(03h)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Nominal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Nominal baud rate, unit of 100Mbps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13-14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(0000h)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Length(9um)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9/125um fiber, units of 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Length(50um)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50/125um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Length(62.5um)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Link length supported for 62.5/125um fiber, units of 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Length(Copper)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Link length supported for copper, units of meters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20-35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Name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SFP vendor name: TIBTRONIX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37-39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OUI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SFP transceiver vendor OUI 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40-55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PN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 Number: “TSPL1E40D”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56-59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rev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Revision level for part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60-62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CCID</w:t>
            </w:r>
          </w:p>
        </w:tc>
        <w:tc>
          <w:tcPr>
            <w:tcW w:w="56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Least significant byte of sum of data in address 0-62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Extended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64-65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Option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Indicates which optical SFP signals are implemented</w:t>
            </w:r>
          </w:p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(001Ah = LOS, TX_FAULT, TX_DISABLE all supported)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max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Upper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BR, min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Lower bit rate margin, units of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68-83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SN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Serial number (ASCII)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84-91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 code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TIBTRONIX’s Manufacturing date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92-94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CCEX</w:t>
            </w:r>
          </w:p>
        </w:tc>
        <w:tc>
          <w:tcPr>
            <w:tcW w:w="566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Check code for the extended ID Fields (addresses 64 to 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4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Vendor Specific ID Fields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96-127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Readable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TIBTRONIX specific date, read only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4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128-255</w:t>
            </w:r>
          </w:p>
        </w:tc>
        <w:tc>
          <w:tcPr>
            <w:tcW w:w="1216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128</w:t>
            </w:r>
          </w:p>
        </w:tc>
        <w:tc>
          <w:tcPr>
            <w:tcW w:w="1867" w:type="dxa"/>
            <w:shd w:val="clear" w:color="auto" w:fill="FFFFFF"/>
          </w:tcPr>
          <w:p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</w:t>
            </w:r>
          </w:p>
        </w:tc>
        <w:tc>
          <w:tcPr>
            <w:tcW w:w="5665" w:type="dxa"/>
            <w:shd w:val="clear" w:color="auto" w:fill="FFFFFF"/>
          </w:tcPr>
          <w:p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Reserved for SFF-8079</w:t>
            </w:r>
          </w:p>
        </w:tc>
      </w:tr>
    </w:tbl>
    <w:p>
      <w:pPr>
        <w:rPr>
          <w:b/>
          <w:bCs/>
          <w:sz w:val="30"/>
          <w:szCs w:val="30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Digital Diagnostic Monitor Characteristics</w:t>
      </w:r>
    </w:p>
    <w:tbl>
      <w:tblPr>
        <w:tblStyle w:val="91"/>
        <w:tblW w:w="99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921"/>
        <w:gridCol w:w="1616"/>
        <w:gridCol w:w="1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A6A6A6"/>
          </w:tcPr>
          <w:p>
            <w:pPr>
              <w:ind w:firstLine="118" w:firstLineChars="49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Data Address</w:t>
            </w:r>
          </w:p>
        </w:tc>
        <w:tc>
          <w:tcPr>
            <w:tcW w:w="4921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616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Accuracy</w:t>
            </w:r>
          </w:p>
        </w:tc>
        <w:tc>
          <w:tcPr>
            <w:tcW w:w="1690" w:type="dxa"/>
            <w:shd w:val="clear" w:color="auto" w:fill="A6A6A6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Unit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96-97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Transceiver Internal Temperature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Laser Bias Current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±10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Tx Output Power 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Rx Input Power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35" w:type="dxa"/>
            <w:shd w:val="clear" w:color="auto" w:fill="FFFFFF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sz w:val="24"/>
              </w:rPr>
              <w:t>100-101</w:t>
            </w:r>
          </w:p>
        </w:tc>
        <w:tc>
          <w:tcPr>
            <w:tcW w:w="4921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kern w:val="0"/>
                <w:sz w:val="24"/>
              </w:rPr>
              <w:t>VCC3</w:t>
            </w:r>
            <w:r>
              <w:rPr>
                <w:color w:val="333333"/>
                <w:kern w:val="0"/>
                <w:sz w:val="24"/>
              </w:rPr>
              <w:t xml:space="preserve"> Internal Supply Voltage</w:t>
            </w:r>
          </w:p>
        </w:tc>
        <w:tc>
          <w:tcPr>
            <w:tcW w:w="1616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±3.0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%</w:t>
            </w:r>
          </w:p>
        </w:tc>
      </w:tr>
    </w:tbl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cs="Calibri"/>
          <w:kern w:val="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Regulatory Compliance</w:t>
      </w:r>
    </w:p>
    <w:p>
      <w:pPr>
        <w:pStyle w:val="95"/>
        <w:autoSpaceDE w:val="0"/>
        <w:autoSpaceDN w:val="0"/>
        <w:adjustRightInd w:val="0"/>
        <w:ind w:left="420" w:firstLine="0" w:firstLineChars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The </w:t>
      </w:r>
      <w:r>
        <w:rPr>
          <w:rFonts w:hint="eastAsia"/>
          <w:sz w:val="24"/>
        </w:rPr>
        <w:t>TSPL1E40D</w:t>
      </w:r>
      <w:r>
        <w:rPr>
          <w:kern w:val="0"/>
          <w:sz w:val="24"/>
        </w:rPr>
        <w:t xml:space="preserve"> complies with international Electromagnetic Compatibility (EMC) and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international safety requirements and standards (see details in Table following). </w:t>
      </w:r>
    </w:p>
    <w:p>
      <w:pPr>
        <w:pStyle w:val="95"/>
        <w:autoSpaceDE w:val="0"/>
        <w:autoSpaceDN w:val="0"/>
        <w:adjustRightInd w:val="0"/>
        <w:ind w:left="420" w:firstLine="0" w:firstLineChars="0"/>
        <w:jc w:val="left"/>
        <w:rPr>
          <w:kern w:val="0"/>
          <w:sz w:val="24"/>
        </w:rPr>
      </w:pPr>
    </w:p>
    <w:tbl>
      <w:tblPr>
        <w:tblStyle w:val="91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56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(ESD) to the Electrical Pins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MIL-STD-883E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Method 3015.7</w:t>
            </w:r>
          </w:p>
        </w:tc>
        <w:tc>
          <w:tcPr>
            <w:tcW w:w="3321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Class 1(&gt;1000 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Electrostatic Discharge (ESD)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to the Duplex LC Receptacle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IEC 61000-4-2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GR-1089-CORE</w:t>
            </w:r>
          </w:p>
        </w:tc>
        <w:tc>
          <w:tcPr>
            <w:tcW w:w="3321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Electromagnetic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Interference (EMI)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FCC Part 15 Class B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EN55022 Class B (CISPR 22B)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VCCI Class B</w:t>
            </w:r>
          </w:p>
        </w:tc>
        <w:tc>
          <w:tcPr>
            <w:tcW w:w="3321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standards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85" w:type="dxa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Laser Eye Safety</w:t>
            </w:r>
          </w:p>
        </w:tc>
        <w:tc>
          <w:tcPr>
            <w:tcW w:w="3556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FDA 21CFR 1040.10 and 1040.11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EN60950, EN (IEC) 60825-1,2</w:t>
            </w:r>
          </w:p>
        </w:tc>
        <w:tc>
          <w:tcPr>
            <w:tcW w:w="3321" w:type="dxa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Compatible with Class 1 laser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product.</w:t>
            </w:r>
          </w:p>
        </w:tc>
      </w:tr>
    </w:tbl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spacing w:line="300" w:lineRule="auto"/>
        <w:ind w:left="0" w:firstLine="0"/>
        <w:jc w:val="left"/>
        <w:outlineLvl w:val="0"/>
        <w:rPr>
          <w:rFonts w:cs="Calibri"/>
          <w:kern w:val="0"/>
          <w:sz w:val="30"/>
          <w:szCs w:val="30"/>
        </w:rPr>
      </w:pPr>
      <w:r>
        <w:rPr>
          <w:b/>
          <w:sz w:val="30"/>
          <w:szCs w:val="30"/>
        </w:rPr>
        <w:t>Recommended Circuit</w:t>
      </w:r>
    </w:p>
    <w:p>
      <w:pPr>
        <w:pStyle w:val="95"/>
        <w:ind w:left="420" w:firstLine="0" w:firstLineChars="0"/>
        <w:jc w:val="center"/>
        <w:rPr>
          <w:b/>
          <w:sz w:val="24"/>
        </w:rPr>
      </w:pPr>
      <w:r>
        <w:rPr>
          <w:b/>
          <w:bCs/>
          <w:sz w:val="28"/>
          <w:szCs w:val="28"/>
        </w:rPr>
        <w:object>
          <v:shape id="_x0000_i1029" o:spt="75" type="#_x0000_t75" style="height:216.7pt;width:235.7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WPS.Doc.6" ShapeID="_x0000_i1029" DrawAspect="Content" ObjectID="_1468075726" r:id="rId11">
            <o:LockedField>false</o:LockedField>
          </o:OLEObject>
        </w:object>
      </w:r>
    </w:p>
    <w:p>
      <w:pPr>
        <w:pStyle w:val="95"/>
        <w:ind w:left="420" w:firstLine="0" w:firstLineChars="0"/>
        <w:jc w:val="center"/>
        <w:rPr>
          <w:b/>
          <w:szCs w:val="21"/>
        </w:rPr>
      </w:pPr>
      <w:r>
        <w:rPr>
          <w:rFonts w:cs="Arial"/>
          <w:b/>
          <w:kern w:val="0"/>
          <w:szCs w:val="21"/>
        </w:rPr>
        <w:t>SFP Host Recommended Circuit</w:t>
      </w:r>
    </w:p>
    <w:p>
      <w:pPr>
        <w:spacing w:line="300" w:lineRule="auto"/>
        <w:rPr>
          <w:rFonts w:cs="Calibri"/>
          <w:kern w:val="0"/>
          <w:szCs w:val="21"/>
        </w:rPr>
      </w:pPr>
    </w:p>
    <w:p>
      <w:pPr>
        <w:numPr>
          <w:ilvl w:val="1"/>
          <w:numId w:val="16"/>
        </w:numPr>
        <w:tabs>
          <w:tab w:val="left" w:pos="426"/>
          <w:tab w:val="clear" w:pos="840"/>
        </w:tabs>
        <w:autoSpaceDE w:val="0"/>
        <w:autoSpaceDN w:val="0"/>
        <w:adjustRightInd w:val="0"/>
        <w:spacing w:line="300" w:lineRule="auto"/>
        <w:ind w:left="0" w:firstLine="0"/>
        <w:jc w:val="left"/>
        <w:rPr>
          <w:rFonts w:eastAsia="宋体,Bold" w:cs="Calibri"/>
          <w:b/>
          <w:bCs/>
          <w:kern w:val="0"/>
          <w:sz w:val="30"/>
          <w:szCs w:val="30"/>
        </w:rPr>
      </w:pPr>
      <w:r>
        <w:rPr>
          <w:b/>
          <w:bCs/>
          <w:sz w:val="30"/>
          <w:szCs w:val="30"/>
        </w:rPr>
        <w:t>Mechanical Dimensions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eastAsia="宋体,Bold" w:cs="Calibri"/>
          <w:b/>
          <w:bCs/>
          <w:kern w:val="0"/>
          <w:sz w:val="30"/>
          <w:szCs w:val="30"/>
        </w:rPr>
      </w:pPr>
      <w:r>
        <w:rPr>
          <w:rFonts w:eastAsia="宋体,Bold" w:cs="Calibri"/>
          <w:b/>
          <w:bCs/>
          <w:kern w:val="0"/>
          <w:sz w:val="30"/>
          <w:szCs w:val="30"/>
        </w:rPr>
        <w:pict>
          <v:shape id="_x0000_i1030" o:spt="75" type="#_x0000_t75" style="height:220.1pt;width:382.4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eastAsia="宋体,Bold" w:cs="Calibri"/>
          <w:b/>
          <w:bCs/>
          <w:kern w:val="0"/>
          <w:szCs w:val="21"/>
        </w:rPr>
      </w:pPr>
      <w:r>
        <w:rPr>
          <w:rFonts w:cs="Arial"/>
          <w:b/>
          <w:kern w:val="0"/>
          <w:szCs w:val="21"/>
        </w:rPr>
        <w:t>Mechanical Drawing</w:t>
      </w: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>TIBTRONIX reserves the right to make changes to the products or information contained herein without notice. No liability is assumed as a result of their use or application. No rights under any patent accompany the sale of any such products or information.</w:t>
      </w: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>Published by Shenzhen TIBTRONIX Technology Co., Ltd.</w:t>
      </w:r>
    </w:p>
    <w:p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 xml:space="preserve">Copyright © TIBTRONIX </w:t>
      </w:r>
    </w:p>
    <w:p>
      <w:pPr>
        <w:rPr>
          <w:b/>
          <w:sz w:val="24"/>
        </w:rPr>
      </w:pPr>
      <w:r>
        <w:rPr>
          <w:rFonts w:eastAsia="楷体"/>
          <w:color w:val="000000"/>
          <w:kern w:val="0"/>
          <w:sz w:val="24"/>
        </w:rPr>
        <w:t>All Rights Reserved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eastAsia="宋体,Bold" w:cs="Calibri"/>
          <w:b/>
          <w:bCs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1"/>
      <w:tblW w:w="9962" w:type="dxa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973"/>
      <w:gridCol w:w="2989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6973" w:type="dxa"/>
          <w:shd w:val="clear" w:color="auto" w:fill="auto"/>
        </w:tcPr>
        <w:p>
          <w:pPr>
            <w:pStyle w:val="56"/>
            <w:jc w:val="right"/>
          </w:pPr>
          <w:r>
            <w:pict>
              <v:shape id="图片 2" o:spid="_x0000_s4097" o:spt="75" type="#_x0000_t75" style="position:absolute;left:0pt;margin-left:-2.95pt;margin-top:11.1pt;height:26.9pt;width:87pt;z-index:-1024;mso-width-relative:page;mso-height-relative:page;" filled="f" o:preferrelative="t" stroked="f" coordsize="21600,21600">
                <v:path/>
                <v:fill on="f" focussize="0,0"/>
                <v:stroke on="f" joinstyle="miter"/>
                <v:imagedata r:id="rId1" o:title=""/>
                <o:lock v:ext="edit" aspectratio="t"/>
              </v:shape>
            </w:pict>
          </w:r>
        </w:p>
      </w:tc>
      <w:tc>
        <w:tcPr>
          <w:tcW w:w="2989" w:type="dxa"/>
          <w:shd w:val="clear" w:color="auto" w:fill="8064A2"/>
        </w:tcPr>
        <w:p>
          <w:pPr>
            <w:pStyle w:val="56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>
            <w:t>2</w:t>
          </w:r>
          <w:r>
            <w:rPr>
              <w:color w:val="FFFFFF"/>
              <w:lang w:val="zh-CN"/>
            </w:rPr>
            <w:fldChar w:fldCharType="end"/>
          </w:r>
        </w:p>
      </w:tc>
    </w:tr>
  </w:tbl>
  <w:p>
    <w:pPr>
      <w:pStyle w:val="5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1"/>
      <w:tblW w:w="9962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94"/>
      <w:gridCol w:w="846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75" w:hRule="atLeast"/>
      </w:trPr>
      <w:tc>
        <w:tcPr>
          <w:tcW w:w="1494" w:type="dxa"/>
          <w:shd w:val="clear" w:color="auto" w:fill="000000"/>
        </w:tcPr>
        <w:p>
          <w:pPr>
            <w:pStyle w:val="59"/>
            <w:rPr>
              <w:color w:val="FFFFFF"/>
            </w:rPr>
          </w:pPr>
        </w:p>
      </w:tc>
      <w:tc>
        <w:tcPr>
          <w:tcW w:w="8468" w:type="dxa"/>
          <w:shd w:val="clear" w:color="auto" w:fill="8064A2"/>
          <w:vAlign w:val="center"/>
        </w:tcPr>
        <w:p>
          <w:pPr>
            <w:pStyle w:val="59"/>
            <w:rPr>
              <w:caps/>
              <w:color w:val="FFFFFF"/>
            </w:rPr>
          </w:pPr>
          <w:r>
            <w:rPr>
              <w:rFonts w:hint="eastAsia"/>
              <w:caps/>
              <w:color w:val="FFFFFF"/>
            </w:rPr>
            <w:t>TSPL1E40D</w:t>
          </w:r>
        </w:p>
      </w:tc>
    </w:tr>
  </w:tbl>
  <w:p>
    <w:pPr>
      <w:pStyle w:val="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9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5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22390B34"/>
    <w:multiLevelType w:val="multilevel"/>
    <w:tmpl w:val="22390B3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225837D0"/>
    <w:multiLevelType w:val="multilevel"/>
    <w:tmpl w:val="225837D0"/>
    <w:lvl w:ilvl="0" w:tentative="0">
      <w:start w:val="1"/>
      <w:numFmt w:val="decimal"/>
      <w:lvlText w:val="%1."/>
      <w:lvlJc w:val="left"/>
      <w:pPr>
        <w:tabs>
          <w:tab w:val="left" w:pos="945"/>
        </w:tabs>
        <w:ind w:left="945" w:hanging="420"/>
      </w:pPr>
    </w:lvl>
    <w:lvl w:ilvl="1" w:tentative="0">
      <w:start w:val="1"/>
      <w:numFmt w:val="bullet"/>
      <w:lvlText w:val="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12">
    <w:nsid w:val="2543387B"/>
    <w:multiLevelType w:val="multilevel"/>
    <w:tmpl w:val="2543387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58A86454"/>
    <w:multiLevelType w:val="multilevel"/>
    <w:tmpl w:val="58A8645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5B505AF7"/>
    <w:multiLevelType w:val="multilevel"/>
    <w:tmpl w:val="5B505AF7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5">
    <w:nsid w:val="61885725"/>
    <w:multiLevelType w:val="multilevel"/>
    <w:tmpl w:val="61885725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0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宋体"/>
        <w:sz w:val="16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6689501C"/>
    <w:multiLevelType w:val="multilevel"/>
    <w:tmpl w:val="6689501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30"/>
        <w:szCs w:val="3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E783889"/>
    <w:multiLevelType w:val="multilevel"/>
    <w:tmpl w:val="6E78388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">
    <w:nsid w:val="6F9D1E45"/>
    <w:multiLevelType w:val="multilevel"/>
    <w:tmpl w:val="6F9D1E45"/>
    <w:lvl w:ilvl="0" w:tentative="0">
      <w:start w:val="1"/>
      <w:numFmt w:val="decimal"/>
      <w:lvlText w:val="%1."/>
      <w:lvlJc w:val="left"/>
      <w:pPr>
        <w:tabs>
          <w:tab w:val="left" w:pos="734"/>
        </w:tabs>
        <w:ind w:left="734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54"/>
        </w:tabs>
        <w:ind w:left="115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4"/>
        </w:tabs>
        <w:ind w:left="1574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4"/>
        </w:tabs>
        <w:ind w:left="199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4"/>
        </w:tabs>
        <w:ind w:left="241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4"/>
        </w:tabs>
        <w:ind w:left="2834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4"/>
        </w:tabs>
        <w:ind w:left="325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4"/>
        </w:tabs>
        <w:ind w:left="367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4"/>
        </w:tabs>
        <w:ind w:left="4094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08B"/>
    <w:rsid w:val="000018B0"/>
    <w:rsid w:val="000116D8"/>
    <w:rsid w:val="000119C4"/>
    <w:rsid w:val="00035820"/>
    <w:rsid w:val="00042762"/>
    <w:rsid w:val="000434B8"/>
    <w:rsid w:val="000512A0"/>
    <w:rsid w:val="00051F9E"/>
    <w:rsid w:val="0005432F"/>
    <w:rsid w:val="00055AC5"/>
    <w:rsid w:val="000713DB"/>
    <w:rsid w:val="0008085E"/>
    <w:rsid w:val="000A1F3C"/>
    <w:rsid w:val="000B1D9E"/>
    <w:rsid w:val="000D47E9"/>
    <w:rsid w:val="000D6FE0"/>
    <w:rsid w:val="000E2133"/>
    <w:rsid w:val="000E3F54"/>
    <w:rsid w:val="000F0E54"/>
    <w:rsid w:val="000F1BDE"/>
    <w:rsid w:val="00104BD2"/>
    <w:rsid w:val="00123BE0"/>
    <w:rsid w:val="00140061"/>
    <w:rsid w:val="0015536C"/>
    <w:rsid w:val="00163C98"/>
    <w:rsid w:val="00172025"/>
    <w:rsid w:val="00181CF5"/>
    <w:rsid w:val="00192F60"/>
    <w:rsid w:val="00197D93"/>
    <w:rsid w:val="001A2439"/>
    <w:rsid w:val="001C608E"/>
    <w:rsid w:val="001E5605"/>
    <w:rsid w:val="00226AFF"/>
    <w:rsid w:val="00243B43"/>
    <w:rsid w:val="0024769D"/>
    <w:rsid w:val="002579D8"/>
    <w:rsid w:val="00264DAB"/>
    <w:rsid w:val="0027041F"/>
    <w:rsid w:val="00284E8D"/>
    <w:rsid w:val="00290331"/>
    <w:rsid w:val="00295762"/>
    <w:rsid w:val="00297C1C"/>
    <w:rsid w:val="002B2C82"/>
    <w:rsid w:val="002C2032"/>
    <w:rsid w:val="002C5754"/>
    <w:rsid w:val="002E61C3"/>
    <w:rsid w:val="00325AE1"/>
    <w:rsid w:val="00331A8F"/>
    <w:rsid w:val="00340CBD"/>
    <w:rsid w:val="00347FBB"/>
    <w:rsid w:val="00356AE6"/>
    <w:rsid w:val="00360A28"/>
    <w:rsid w:val="003615AB"/>
    <w:rsid w:val="00363B97"/>
    <w:rsid w:val="00367D66"/>
    <w:rsid w:val="00370906"/>
    <w:rsid w:val="00377D60"/>
    <w:rsid w:val="00381B57"/>
    <w:rsid w:val="003864ED"/>
    <w:rsid w:val="0039239B"/>
    <w:rsid w:val="003952C4"/>
    <w:rsid w:val="003A7912"/>
    <w:rsid w:val="003C55F0"/>
    <w:rsid w:val="003D6052"/>
    <w:rsid w:val="003E03FC"/>
    <w:rsid w:val="003E2EE2"/>
    <w:rsid w:val="003E514E"/>
    <w:rsid w:val="00411BC0"/>
    <w:rsid w:val="00426D39"/>
    <w:rsid w:val="00444DD8"/>
    <w:rsid w:val="004A487A"/>
    <w:rsid w:val="004B0BD8"/>
    <w:rsid w:val="004C3528"/>
    <w:rsid w:val="004C4182"/>
    <w:rsid w:val="00500D97"/>
    <w:rsid w:val="00514A67"/>
    <w:rsid w:val="0052773F"/>
    <w:rsid w:val="005404A4"/>
    <w:rsid w:val="0054124D"/>
    <w:rsid w:val="00541925"/>
    <w:rsid w:val="00563000"/>
    <w:rsid w:val="00565A9C"/>
    <w:rsid w:val="0057510C"/>
    <w:rsid w:val="005929AC"/>
    <w:rsid w:val="005A0328"/>
    <w:rsid w:val="005A1847"/>
    <w:rsid w:val="005B1F9C"/>
    <w:rsid w:val="005C2371"/>
    <w:rsid w:val="005D25E8"/>
    <w:rsid w:val="005F3672"/>
    <w:rsid w:val="005F5E94"/>
    <w:rsid w:val="006000A3"/>
    <w:rsid w:val="00600D74"/>
    <w:rsid w:val="00602F03"/>
    <w:rsid w:val="006242B5"/>
    <w:rsid w:val="00636EDC"/>
    <w:rsid w:val="00642ABC"/>
    <w:rsid w:val="00652755"/>
    <w:rsid w:val="0065317B"/>
    <w:rsid w:val="006557B5"/>
    <w:rsid w:val="00655886"/>
    <w:rsid w:val="00692AC7"/>
    <w:rsid w:val="00692EB2"/>
    <w:rsid w:val="006B685E"/>
    <w:rsid w:val="006C1A30"/>
    <w:rsid w:val="006C547A"/>
    <w:rsid w:val="006F7D14"/>
    <w:rsid w:val="007017F6"/>
    <w:rsid w:val="00720C08"/>
    <w:rsid w:val="007212C3"/>
    <w:rsid w:val="007621C2"/>
    <w:rsid w:val="00765F61"/>
    <w:rsid w:val="007811F1"/>
    <w:rsid w:val="007C2EC3"/>
    <w:rsid w:val="007D5F76"/>
    <w:rsid w:val="007F3539"/>
    <w:rsid w:val="007F38D0"/>
    <w:rsid w:val="008148E9"/>
    <w:rsid w:val="0081708B"/>
    <w:rsid w:val="00827990"/>
    <w:rsid w:val="0083208D"/>
    <w:rsid w:val="008461D5"/>
    <w:rsid w:val="00851E95"/>
    <w:rsid w:val="0085404E"/>
    <w:rsid w:val="00856D0A"/>
    <w:rsid w:val="00862714"/>
    <w:rsid w:val="00873F89"/>
    <w:rsid w:val="008757EA"/>
    <w:rsid w:val="008A1AD3"/>
    <w:rsid w:val="008A2FC3"/>
    <w:rsid w:val="008A4E2B"/>
    <w:rsid w:val="008C020E"/>
    <w:rsid w:val="008C0AC9"/>
    <w:rsid w:val="008C5803"/>
    <w:rsid w:val="008F11B7"/>
    <w:rsid w:val="00924172"/>
    <w:rsid w:val="00927E9C"/>
    <w:rsid w:val="009341B1"/>
    <w:rsid w:val="009408B8"/>
    <w:rsid w:val="00941D9A"/>
    <w:rsid w:val="00942BBC"/>
    <w:rsid w:val="00946C38"/>
    <w:rsid w:val="00962D4E"/>
    <w:rsid w:val="00997DA5"/>
    <w:rsid w:val="009A64CE"/>
    <w:rsid w:val="009B03CB"/>
    <w:rsid w:val="009B65AE"/>
    <w:rsid w:val="009D1E4F"/>
    <w:rsid w:val="009D27E7"/>
    <w:rsid w:val="009F14A2"/>
    <w:rsid w:val="00A107DF"/>
    <w:rsid w:val="00A26255"/>
    <w:rsid w:val="00A31669"/>
    <w:rsid w:val="00A37407"/>
    <w:rsid w:val="00A513B2"/>
    <w:rsid w:val="00A63BC9"/>
    <w:rsid w:val="00A750DC"/>
    <w:rsid w:val="00A869AD"/>
    <w:rsid w:val="00A871C2"/>
    <w:rsid w:val="00AA2BDF"/>
    <w:rsid w:val="00AC77B2"/>
    <w:rsid w:val="00AF1309"/>
    <w:rsid w:val="00AF1CAE"/>
    <w:rsid w:val="00AF4F81"/>
    <w:rsid w:val="00AF51D6"/>
    <w:rsid w:val="00B261AC"/>
    <w:rsid w:val="00B31F7A"/>
    <w:rsid w:val="00B4084C"/>
    <w:rsid w:val="00B47949"/>
    <w:rsid w:val="00B57D50"/>
    <w:rsid w:val="00B66E8E"/>
    <w:rsid w:val="00B74DD1"/>
    <w:rsid w:val="00B763A0"/>
    <w:rsid w:val="00B836C1"/>
    <w:rsid w:val="00B906F1"/>
    <w:rsid w:val="00BB2892"/>
    <w:rsid w:val="00BC2083"/>
    <w:rsid w:val="00BC6BC6"/>
    <w:rsid w:val="00BC7769"/>
    <w:rsid w:val="00C133B5"/>
    <w:rsid w:val="00C14FDC"/>
    <w:rsid w:val="00C458CD"/>
    <w:rsid w:val="00C46FED"/>
    <w:rsid w:val="00C63EC8"/>
    <w:rsid w:val="00C72C97"/>
    <w:rsid w:val="00C828A4"/>
    <w:rsid w:val="00C9290A"/>
    <w:rsid w:val="00CA4334"/>
    <w:rsid w:val="00CA5F98"/>
    <w:rsid w:val="00CB07A8"/>
    <w:rsid w:val="00CC3C2A"/>
    <w:rsid w:val="00CE32D0"/>
    <w:rsid w:val="00D019C6"/>
    <w:rsid w:val="00D102EE"/>
    <w:rsid w:val="00D10CFD"/>
    <w:rsid w:val="00D136D5"/>
    <w:rsid w:val="00D2388D"/>
    <w:rsid w:val="00D24547"/>
    <w:rsid w:val="00D6501D"/>
    <w:rsid w:val="00D979EB"/>
    <w:rsid w:val="00DB2FAE"/>
    <w:rsid w:val="00DB77C9"/>
    <w:rsid w:val="00DC10EB"/>
    <w:rsid w:val="00DC746E"/>
    <w:rsid w:val="00DD7CAA"/>
    <w:rsid w:val="00DF2998"/>
    <w:rsid w:val="00DF4D6F"/>
    <w:rsid w:val="00DF7D1E"/>
    <w:rsid w:val="00E015D2"/>
    <w:rsid w:val="00E025D1"/>
    <w:rsid w:val="00E12341"/>
    <w:rsid w:val="00E12B0D"/>
    <w:rsid w:val="00E308FE"/>
    <w:rsid w:val="00E5250C"/>
    <w:rsid w:val="00E52656"/>
    <w:rsid w:val="00E55CC7"/>
    <w:rsid w:val="00E6275F"/>
    <w:rsid w:val="00E70D06"/>
    <w:rsid w:val="00E92F1F"/>
    <w:rsid w:val="00EA2DF8"/>
    <w:rsid w:val="00EB0639"/>
    <w:rsid w:val="00EB7AE9"/>
    <w:rsid w:val="00EC2A61"/>
    <w:rsid w:val="00ED1BE8"/>
    <w:rsid w:val="00ED427E"/>
    <w:rsid w:val="00EE2019"/>
    <w:rsid w:val="00EE4FF1"/>
    <w:rsid w:val="00F1120C"/>
    <w:rsid w:val="00F24985"/>
    <w:rsid w:val="00F27D49"/>
    <w:rsid w:val="00F32291"/>
    <w:rsid w:val="00F43B9C"/>
    <w:rsid w:val="00F51AC0"/>
    <w:rsid w:val="00F53FBD"/>
    <w:rsid w:val="00F55D1A"/>
    <w:rsid w:val="00F632A9"/>
    <w:rsid w:val="00F74BCD"/>
    <w:rsid w:val="00F85A94"/>
    <w:rsid w:val="00F92BE8"/>
    <w:rsid w:val="00FA48FE"/>
    <w:rsid w:val="00FB4D60"/>
    <w:rsid w:val="00FC0168"/>
    <w:rsid w:val="00FD0E87"/>
    <w:rsid w:val="00FD56BB"/>
    <w:rsid w:val="00FF0CC3"/>
    <w:rsid w:val="00FF227E"/>
    <w:rsid w:val="2E824679"/>
    <w:rsid w:val="43AA12AE"/>
    <w:rsid w:val="7C0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qFormat="1" w:unhideWhenUsed="0" w:uiPriority="0" w:name="toc 7"/>
    <w:lsdException w:unhideWhenUsed="0" w:uiPriority="0" w:name="toc 8"/>
    <w:lsdException w:unhideWhenUsed="0" w:uiPriority="0" w:name="toc 9"/>
    <w:lsdException w:qFormat="1" w:unhideWhenUsed="0" w:uiPriority="0" w:semiHidden="0" w:name="Normal Indent"/>
    <w:lsdException w:unhideWhenUsed="0" w:uiPriority="0" w:name="footnote text"/>
    <w:lsdException w:unhideWhenUsed="0" w:uiPriority="0" w:name="annotation text"/>
    <w:lsdException w:uiPriority="99" w:semiHidden="0" w:name="header"/>
    <w:lsdException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qFormat="1" w:unhideWhenUsed="0" w:uiPriority="0" w:semiHidden="0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3"/>
    <w:qFormat/>
    <w:uiPriority w:val="0"/>
    <w:pPr>
      <w:keepNext/>
      <w:jc w:val="left"/>
      <w:outlineLvl w:val="0"/>
    </w:pPr>
    <w:rPr>
      <w:rFonts w:ascii="Arial" w:hAnsi="Arial" w:cs="Arial"/>
      <w:b/>
      <w:bCs/>
      <w:iCs/>
      <w:color w:val="0000FF"/>
      <w:sz w:val="36"/>
      <w:szCs w:val="24"/>
    </w:rPr>
  </w:style>
  <w:style w:type="paragraph" w:styleId="3">
    <w:name w:val="heading 2"/>
    <w:basedOn w:val="1"/>
    <w:next w:val="1"/>
    <w:link w:val="144"/>
    <w:qFormat/>
    <w:uiPriority w:val="0"/>
    <w:pPr>
      <w:keepNext/>
      <w:autoSpaceDE w:val="0"/>
      <w:autoSpaceDN w:val="0"/>
      <w:adjustRightInd w:val="0"/>
      <w:jc w:val="left"/>
      <w:outlineLvl w:val="1"/>
    </w:pPr>
    <w:rPr>
      <w:rFonts w:ascii="Times New Roman" w:hAnsi="Times New Roman"/>
      <w:b/>
      <w:bCs/>
      <w:kern w:val="0"/>
      <w:sz w:val="28"/>
      <w:szCs w:val="21"/>
    </w:rPr>
  </w:style>
  <w:style w:type="paragraph" w:styleId="4">
    <w:name w:val="heading 3"/>
    <w:basedOn w:val="1"/>
    <w:next w:val="1"/>
    <w:link w:val="145"/>
    <w:qFormat/>
    <w:uiPriority w:val="0"/>
    <w:pPr>
      <w:keepNext/>
      <w:outlineLvl w:val="2"/>
    </w:pPr>
    <w:rPr>
      <w:rFonts w:ascii="Times New Roman" w:hAnsi="Times New Roman"/>
      <w:b/>
      <w:sz w:val="28"/>
      <w:szCs w:val="24"/>
    </w:rPr>
  </w:style>
  <w:style w:type="paragraph" w:styleId="5">
    <w:name w:val="heading 4"/>
    <w:basedOn w:val="1"/>
    <w:next w:val="1"/>
    <w:link w:val="146"/>
    <w:qFormat/>
    <w:uiPriority w:val="0"/>
    <w:pPr>
      <w:keepNext/>
      <w:autoSpaceDE w:val="0"/>
      <w:autoSpaceDN w:val="0"/>
      <w:adjustRightInd w:val="0"/>
      <w:jc w:val="left"/>
      <w:outlineLvl w:val="3"/>
    </w:pPr>
    <w:rPr>
      <w:rFonts w:ascii="Times New Roman" w:hAnsi="Times New Roman" w:eastAsia="宋体,Bold"/>
      <w:b/>
      <w:bCs/>
      <w:kern w:val="0"/>
      <w:sz w:val="24"/>
      <w:szCs w:val="18"/>
    </w:rPr>
  </w:style>
  <w:style w:type="paragraph" w:styleId="6">
    <w:name w:val="heading 5"/>
    <w:basedOn w:val="1"/>
    <w:next w:val="1"/>
    <w:link w:val="147"/>
    <w:qFormat/>
    <w:uiPriority w:val="0"/>
    <w:pPr>
      <w:keepNext/>
      <w:outlineLvl w:val="4"/>
    </w:pPr>
    <w:rPr>
      <w:rFonts w:ascii="Times New Roman" w:hAnsi="Times New Roman"/>
      <w:b/>
      <w:bCs/>
      <w:sz w:val="32"/>
      <w:szCs w:val="24"/>
    </w:rPr>
  </w:style>
  <w:style w:type="paragraph" w:styleId="7">
    <w:name w:val="heading 6"/>
    <w:basedOn w:val="1"/>
    <w:next w:val="1"/>
    <w:link w:val="148"/>
    <w:qFormat/>
    <w:uiPriority w:val="0"/>
    <w:pPr>
      <w:keepNext/>
      <w:outlineLvl w:val="5"/>
    </w:pPr>
    <w:rPr>
      <w:rFonts w:ascii="Times New Roman" w:hAnsi="Times New Roman"/>
      <w:b/>
      <w:bCs/>
      <w:szCs w:val="24"/>
    </w:rPr>
  </w:style>
  <w:style w:type="paragraph" w:styleId="8">
    <w:name w:val="heading 7"/>
    <w:basedOn w:val="1"/>
    <w:next w:val="1"/>
    <w:link w:val="149"/>
    <w:qFormat/>
    <w:uiPriority w:val="0"/>
    <w:pPr>
      <w:keepNext/>
      <w:outlineLvl w:val="6"/>
    </w:pPr>
    <w:rPr>
      <w:rFonts w:ascii="Times New Roman" w:hAnsi="Times New Roman"/>
      <w:b/>
      <w:bCs/>
      <w:sz w:val="30"/>
      <w:szCs w:val="24"/>
    </w:rPr>
  </w:style>
  <w:style w:type="paragraph" w:styleId="9">
    <w:name w:val="heading 8"/>
    <w:basedOn w:val="1"/>
    <w:next w:val="1"/>
    <w:link w:val="150"/>
    <w:qFormat/>
    <w:uiPriority w:val="0"/>
    <w:pPr>
      <w:keepNext/>
      <w:wordWrap w:val="0"/>
      <w:spacing w:line="0" w:lineRule="atLeast"/>
      <w:ind w:left="210"/>
      <w:jc w:val="right"/>
      <w:outlineLvl w:val="7"/>
    </w:pPr>
    <w:rPr>
      <w:rFonts w:ascii="Times New Roman" w:hAnsi="Times New Roman"/>
      <w:b/>
      <w:bCs/>
      <w:szCs w:val="24"/>
    </w:rPr>
  </w:style>
  <w:style w:type="paragraph" w:styleId="10">
    <w:name w:val="heading 9"/>
    <w:basedOn w:val="1"/>
    <w:next w:val="1"/>
    <w:link w:val="151"/>
    <w:qFormat/>
    <w:uiPriority w:val="0"/>
    <w:pPr>
      <w:keepNext/>
      <w:spacing w:line="0" w:lineRule="atLeast"/>
      <w:outlineLvl w:val="8"/>
    </w:pPr>
    <w:rPr>
      <w:rFonts w:ascii="Times New Roman" w:hAnsi="Times New Roman"/>
      <w:b/>
      <w:bCs/>
      <w:szCs w:val="24"/>
    </w:rPr>
  </w:style>
  <w:style w:type="character" w:default="1" w:styleId="87">
    <w:name w:val="Default Paragraph Font"/>
    <w:unhideWhenUsed/>
    <w:qFormat/>
    <w:uiPriority w:val="1"/>
  </w:style>
  <w:style w:type="table" w:default="1" w:styleId="9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/>
      <w:szCs w:val="24"/>
    </w:rPr>
  </w:style>
  <w:style w:type="paragraph" w:styleId="12">
    <w:name w:val="toc 7"/>
    <w:basedOn w:val="1"/>
    <w:next w:val="1"/>
    <w:semiHidden/>
    <w:qFormat/>
    <w:uiPriority w:val="0"/>
    <w:pPr>
      <w:ind w:left="2520" w:leftChars="1200"/>
    </w:pPr>
    <w:rPr>
      <w:rFonts w:ascii="Times New Roman" w:hAnsi="Times New Roman"/>
      <w:szCs w:val="24"/>
    </w:rPr>
  </w:style>
  <w:style w:type="paragraph" w:styleId="13">
    <w:name w:val="Body Text First Indent"/>
    <w:basedOn w:val="14"/>
    <w:link w:val="170"/>
    <w:qFormat/>
    <w:uiPriority w:val="0"/>
    <w:pPr>
      <w:snapToGrid/>
      <w:spacing w:after="120"/>
      <w:ind w:firstLine="420" w:firstLineChars="100"/>
    </w:pPr>
    <w:rPr>
      <w:sz w:val="21"/>
      <w:szCs w:val="24"/>
    </w:rPr>
  </w:style>
  <w:style w:type="paragraph" w:styleId="14">
    <w:name w:val="Body Text"/>
    <w:basedOn w:val="1"/>
    <w:link w:val="153"/>
    <w:qFormat/>
    <w:uiPriority w:val="0"/>
    <w:pPr>
      <w:snapToGrid w:val="0"/>
    </w:pPr>
    <w:rPr>
      <w:rFonts w:ascii="Times New Roman" w:hAnsi="Times New Roman"/>
      <w:sz w:val="24"/>
      <w:szCs w:val="20"/>
    </w:rPr>
  </w:style>
  <w:style w:type="paragraph" w:styleId="15">
    <w:name w:val="List Number 2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Cs w:val="24"/>
    </w:rPr>
  </w:style>
  <w:style w:type="paragraph" w:styleId="16">
    <w:name w:val="table of authorities"/>
    <w:basedOn w:val="1"/>
    <w:next w:val="1"/>
    <w:semiHidden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17">
    <w:name w:val="macro"/>
    <w:link w:val="160"/>
    <w:semiHidden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8">
    <w:name w:val="Note Heading"/>
    <w:basedOn w:val="1"/>
    <w:next w:val="1"/>
    <w:link w:val="176"/>
    <w:qFormat/>
    <w:uiPriority w:val="0"/>
    <w:pPr>
      <w:jc w:val="center"/>
    </w:pPr>
    <w:rPr>
      <w:rFonts w:ascii="Times New Roman" w:hAnsi="Times New Roman"/>
      <w:szCs w:val="24"/>
    </w:rPr>
  </w:style>
  <w:style w:type="paragraph" w:styleId="19">
    <w:name w:val="List Bullet 4"/>
    <w:basedOn w:val="1"/>
    <w:qFormat/>
    <w:uiPriority w:val="0"/>
    <w:pPr>
      <w:numPr>
        <w:ilvl w:val="0"/>
        <w:numId w:val="2"/>
      </w:numPr>
    </w:pPr>
    <w:rPr>
      <w:rFonts w:ascii="Times New Roman" w:hAnsi="Times New Roman"/>
      <w:szCs w:val="24"/>
    </w:rPr>
  </w:style>
  <w:style w:type="paragraph" w:styleId="20">
    <w:name w:val="index 8"/>
    <w:basedOn w:val="1"/>
    <w:next w:val="1"/>
    <w:semiHidden/>
    <w:qFormat/>
    <w:uiPriority w:val="0"/>
    <w:pPr>
      <w:ind w:left="1400" w:leftChars="1400"/>
    </w:pPr>
    <w:rPr>
      <w:rFonts w:ascii="Times New Roman" w:hAnsi="Times New Roman"/>
      <w:szCs w:val="24"/>
    </w:rPr>
  </w:style>
  <w:style w:type="paragraph" w:styleId="21">
    <w:name w:val="E-mail Signature"/>
    <w:basedOn w:val="1"/>
    <w:link w:val="159"/>
    <w:qFormat/>
    <w:uiPriority w:val="0"/>
    <w:rPr>
      <w:rFonts w:ascii="Times New Roman" w:hAnsi="Times New Roman"/>
      <w:szCs w:val="24"/>
    </w:rPr>
  </w:style>
  <w:style w:type="paragraph" w:styleId="22">
    <w:name w:val="List Number"/>
    <w:basedOn w:val="1"/>
    <w:qFormat/>
    <w:uiPriority w:val="0"/>
    <w:pPr>
      <w:numPr>
        <w:ilvl w:val="0"/>
        <w:numId w:val="3"/>
      </w:numPr>
    </w:pPr>
    <w:rPr>
      <w:rFonts w:ascii="Times New Roman" w:hAnsi="Times New Roman"/>
      <w:szCs w:val="24"/>
    </w:rPr>
  </w:style>
  <w:style w:type="paragraph" w:styleId="23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24">
    <w:name w:val="caption"/>
    <w:basedOn w:val="1"/>
    <w:next w:val="1"/>
    <w:qFormat/>
    <w:uiPriority w:val="0"/>
    <w:rPr>
      <w:rFonts w:ascii="Times New Roman" w:hAnsi="Times New Roman"/>
      <w:b/>
      <w:sz w:val="30"/>
      <w:szCs w:val="24"/>
    </w:rPr>
  </w:style>
  <w:style w:type="paragraph" w:styleId="25">
    <w:name w:val="index 5"/>
    <w:basedOn w:val="1"/>
    <w:next w:val="1"/>
    <w:semiHidden/>
    <w:uiPriority w:val="0"/>
    <w:pPr>
      <w:ind w:left="800" w:leftChars="800"/>
    </w:pPr>
    <w:rPr>
      <w:rFonts w:ascii="Times New Roman" w:hAnsi="Times New Roman"/>
      <w:szCs w:val="24"/>
    </w:rPr>
  </w:style>
  <w:style w:type="paragraph" w:styleId="26">
    <w:name w:val="List Bullet"/>
    <w:basedOn w:val="1"/>
    <w:qFormat/>
    <w:uiPriority w:val="0"/>
    <w:pPr>
      <w:numPr>
        <w:ilvl w:val="0"/>
        <w:numId w:val="4"/>
      </w:numPr>
    </w:pPr>
    <w:rPr>
      <w:rFonts w:ascii="Times New Roman" w:hAnsi="Times New Roman"/>
      <w:szCs w:val="24"/>
    </w:rPr>
  </w:style>
  <w:style w:type="paragraph" w:styleId="27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28">
    <w:name w:val="Document Map"/>
    <w:basedOn w:val="1"/>
    <w:link w:val="152"/>
    <w:semiHidden/>
    <w:qFormat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29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30">
    <w:name w:val="annotation text"/>
    <w:basedOn w:val="1"/>
    <w:link w:val="163"/>
    <w:semiHidden/>
    <w:uiPriority w:val="0"/>
    <w:pPr>
      <w:jc w:val="left"/>
    </w:pPr>
    <w:rPr>
      <w:rFonts w:ascii="Times New Roman" w:hAnsi="Times New Roman"/>
      <w:szCs w:val="24"/>
    </w:rPr>
  </w:style>
  <w:style w:type="paragraph" w:styleId="31">
    <w:name w:val="index 6"/>
    <w:basedOn w:val="1"/>
    <w:next w:val="1"/>
    <w:semiHidden/>
    <w:qFormat/>
    <w:uiPriority w:val="0"/>
    <w:pPr>
      <w:ind w:left="1000" w:leftChars="1000"/>
    </w:pPr>
    <w:rPr>
      <w:rFonts w:ascii="Times New Roman" w:hAnsi="Times New Roman"/>
      <w:szCs w:val="24"/>
    </w:rPr>
  </w:style>
  <w:style w:type="paragraph" w:styleId="32">
    <w:name w:val="Salutation"/>
    <w:basedOn w:val="1"/>
    <w:next w:val="1"/>
    <w:link w:val="158"/>
    <w:uiPriority w:val="0"/>
    <w:rPr>
      <w:rFonts w:ascii="Times New Roman" w:hAnsi="Times New Roman"/>
      <w:szCs w:val="24"/>
    </w:rPr>
  </w:style>
  <w:style w:type="paragraph" w:styleId="33">
    <w:name w:val="Body Text 3"/>
    <w:basedOn w:val="1"/>
    <w:link w:val="173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4">
    <w:name w:val="Closing"/>
    <w:basedOn w:val="1"/>
    <w:link w:val="162"/>
    <w:qFormat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35">
    <w:name w:val="List Bullet 3"/>
    <w:basedOn w:val="1"/>
    <w:qFormat/>
    <w:uiPriority w:val="0"/>
    <w:pPr>
      <w:numPr>
        <w:ilvl w:val="0"/>
        <w:numId w:val="5"/>
      </w:numPr>
    </w:pPr>
    <w:rPr>
      <w:rFonts w:ascii="Times New Roman" w:hAnsi="Times New Roman"/>
      <w:szCs w:val="24"/>
    </w:rPr>
  </w:style>
  <w:style w:type="paragraph" w:styleId="36">
    <w:name w:val="Body Text Indent"/>
    <w:basedOn w:val="1"/>
    <w:link w:val="154"/>
    <w:qFormat/>
    <w:uiPriority w:val="0"/>
    <w:pPr>
      <w:snapToGrid w:val="0"/>
      <w:spacing w:line="160" w:lineRule="atLeast"/>
      <w:ind w:firstLine="465"/>
    </w:pPr>
    <w:rPr>
      <w:rFonts w:ascii="Times New Roman" w:hAnsi="Times New Roman"/>
      <w:sz w:val="24"/>
      <w:szCs w:val="24"/>
    </w:rPr>
  </w:style>
  <w:style w:type="paragraph" w:styleId="37">
    <w:name w:val="List Number 3"/>
    <w:basedOn w:val="1"/>
    <w:uiPriority w:val="0"/>
    <w:pPr>
      <w:numPr>
        <w:ilvl w:val="0"/>
        <w:numId w:val="6"/>
      </w:numPr>
    </w:pPr>
    <w:rPr>
      <w:rFonts w:ascii="Times New Roman" w:hAnsi="Times New Roman"/>
      <w:szCs w:val="24"/>
    </w:rPr>
  </w:style>
  <w:style w:type="paragraph" w:styleId="38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/>
      <w:szCs w:val="24"/>
    </w:rPr>
  </w:style>
  <w:style w:type="paragraph" w:styleId="39">
    <w:name w:val="List Continue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0">
    <w:name w:val="Block Text"/>
    <w:basedOn w:val="1"/>
    <w:uiPriority w:val="0"/>
    <w:pPr>
      <w:spacing w:after="120"/>
      <w:ind w:left="1440" w:leftChars="700" w:right="1440" w:rightChars="700"/>
    </w:pPr>
    <w:rPr>
      <w:rFonts w:ascii="Times New Roman" w:hAnsi="Times New Roman"/>
      <w:szCs w:val="24"/>
    </w:rPr>
  </w:style>
  <w:style w:type="paragraph" w:styleId="41">
    <w:name w:val="List Bullet 2"/>
    <w:basedOn w:val="1"/>
    <w:uiPriority w:val="0"/>
    <w:pPr>
      <w:numPr>
        <w:ilvl w:val="0"/>
        <w:numId w:val="7"/>
      </w:numPr>
    </w:pPr>
    <w:rPr>
      <w:rFonts w:ascii="Times New Roman" w:hAnsi="Times New Roman"/>
      <w:szCs w:val="24"/>
    </w:rPr>
  </w:style>
  <w:style w:type="paragraph" w:styleId="42">
    <w:name w:val="HTML Address"/>
    <w:basedOn w:val="1"/>
    <w:link w:val="155"/>
    <w:qFormat/>
    <w:uiPriority w:val="0"/>
    <w:rPr>
      <w:rFonts w:ascii="Times New Roman" w:hAnsi="Times New Roman"/>
      <w:i/>
      <w:iCs/>
      <w:szCs w:val="24"/>
    </w:rPr>
  </w:style>
  <w:style w:type="paragraph" w:styleId="43">
    <w:name w:val="index 4"/>
    <w:basedOn w:val="1"/>
    <w:next w:val="1"/>
    <w:semiHidden/>
    <w:uiPriority w:val="0"/>
    <w:pPr>
      <w:ind w:left="600" w:leftChars="600"/>
    </w:pPr>
    <w:rPr>
      <w:rFonts w:ascii="Times New Roman" w:hAnsi="Times New Roman"/>
      <w:szCs w:val="24"/>
    </w:rPr>
  </w:style>
  <w:style w:type="paragraph" w:styleId="44">
    <w:name w:val="toc 5"/>
    <w:basedOn w:val="1"/>
    <w:next w:val="1"/>
    <w:semiHidden/>
    <w:uiPriority w:val="0"/>
    <w:pPr>
      <w:ind w:left="1680" w:leftChars="800"/>
    </w:pPr>
    <w:rPr>
      <w:rFonts w:ascii="Times New Roman" w:hAnsi="Times New Roman"/>
      <w:szCs w:val="24"/>
    </w:rPr>
  </w:style>
  <w:style w:type="paragraph" w:styleId="45">
    <w:name w:val="toc 3"/>
    <w:basedOn w:val="1"/>
    <w:next w:val="1"/>
    <w:semiHidden/>
    <w:uiPriority w:val="0"/>
    <w:pPr>
      <w:ind w:left="840" w:leftChars="400"/>
    </w:pPr>
    <w:rPr>
      <w:rFonts w:ascii="Times New Roman" w:hAnsi="Times New Roman"/>
      <w:szCs w:val="24"/>
    </w:rPr>
  </w:style>
  <w:style w:type="paragraph" w:styleId="46">
    <w:name w:val="Plain Text"/>
    <w:basedOn w:val="1"/>
    <w:link w:val="164"/>
    <w:uiPriority w:val="0"/>
    <w:rPr>
      <w:rFonts w:ascii="宋体" w:hAnsi="Courier New" w:cs="Courier New"/>
      <w:szCs w:val="21"/>
    </w:rPr>
  </w:style>
  <w:style w:type="paragraph" w:styleId="47">
    <w:name w:val="List Bullet 5"/>
    <w:basedOn w:val="1"/>
    <w:uiPriority w:val="0"/>
    <w:pPr>
      <w:numPr>
        <w:ilvl w:val="0"/>
        <w:numId w:val="8"/>
      </w:numPr>
    </w:pPr>
    <w:rPr>
      <w:rFonts w:ascii="Times New Roman" w:hAnsi="Times New Roman"/>
      <w:szCs w:val="24"/>
    </w:rPr>
  </w:style>
  <w:style w:type="paragraph" w:styleId="48">
    <w:name w:val="List Number 4"/>
    <w:basedOn w:val="1"/>
    <w:uiPriority w:val="0"/>
    <w:pPr>
      <w:numPr>
        <w:ilvl w:val="0"/>
        <w:numId w:val="9"/>
      </w:numPr>
    </w:pPr>
    <w:rPr>
      <w:rFonts w:ascii="Times New Roman" w:hAnsi="Times New Roman"/>
      <w:szCs w:val="24"/>
    </w:rPr>
  </w:style>
  <w:style w:type="paragraph" w:styleId="49">
    <w:name w:val="toc 8"/>
    <w:basedOn w:val="1"/>
    <w:next w:val="1"/>
    <w:semiHidden/>
    <w:uiPriority w:val="0"/>
    <w:pPr>
      <w:ind w:left="2940" w:leftChars="1400"/>
    </w:pPr>
    <w:rPr>
      <w:rFonts w:ascii="Times New Roman" w:hAnsi="Times New Roman"/>
      <w:szCs w:val="24"/>
    </w:rPr>
  </w:style>
  <w:style w:type="paragraph" w:styleId="50">
    <w:name w:val="index 3"/>
    <w:basedOn w:val="1"/>
    <w:next w:val="1"/>
    <w:semiHidden/>
    <w:uiPriority w:val="0"/>
    <w:pPr>
      <w:ind w:left="400" w:leftChars="400"/>
    </w:pPr>
    <w:rPr>
      <w:rFonts w:ascii="Times New Roman" w:hAnsi="Times New Roman"/>
      <w:szCs w:val="24"/>
    </w:rPr>
  </w:style>
  <w:style w:type="paragraph" w:styleId="51">
    <w:name w:val="Date"/>
    <w:basedOn w:val="1"/>
    <w:next w:val="1"/>
    <w:link w:val="166"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2">
    <w:name w:val="Body Text Indent 2"/>
    <w:basedOn w:val="1"/>
    <w:link w:val="174"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53">
    <w:name w:val="endnote text"/>
    <w:basedOn w:val="1"/>
    <w:link w:val="168"/>
    <w:semiHidden/>
    <w:qFormat/>
    <w:uiPriority w:val="0"/>
    <w:pPr>
      <w:snapToGrid w:val="0"/>
      <w:jc w:val="left"/>
    </w:pPr>
    <w:rPr>
      <w:rFonts w:ascii="Times New Roman" w:hAnsi="Times New Roman"/>
      <w:szCs w:val="24"/>
    </w:rPr>
  </w:style>
  <w:style w:type="paragraph" w:styleId="54">
    <w:name w:val="List Continue 5"/>
    <w:basedOn w:val="1"/>
    <w:uiPriority w:val="0"/>
    <w:pPr>
      <w:spacing w:after="120"/>
      <w:ind w:left="2100" w:leftChars="1000"/>
    </w:pPr>
    <w:rPr>
      <w:rFonts w:ascii="Times New Roman" w:hAnsi="Times New Roman"/>
      <w:szCs w:val="24"/>
    </w:rPr>
  </w:style>
  <w:style w:type="paragraph" w:styleId="55">
    <w:name w:val="Balloon Text"/>
    <w:basedOn w:val="1"/>
    <w:link w:val="140"/>
    <w:unhideWhenUsed/>
    <w:uiPriority w:val="99"/>
    <w:rPr>
      <w:sz w:val="18"/>
      <w:szCs w:val="18"/>
    </w:rPr>
  </w:style>
  <w:style w:type="paragraph" w:styleId="56">
    <w:name w:val="footer"/>
    <w:basedOn w:val="1"/>
    <w:link w:val="14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7">
    <w:name w:val="envelope return"/>
    <w:basedOn w:val="1"/>
    <w:uiPriority w:val="0"/>
    <w:pPr>
      <w:snapToGrid w:val="0"/>
    </w:pPr>
    <w:rPr>
      <w:rFonts w:ascii="Arial" w:hAnsi="Arial" w:cs="Arial"/>
      <w:szCs w:val="24"/>
    </w:rPr>
  </w:style>
  <w:style w:type="paragraph" w:styleId="58">
    <w:name w:val="Body Text First Indent 2"/>
    <w:basedOn w:val="36"/>
    <w:link w:val="171"/>
    <w:qFormat/>
    <w:uiPriority w:val="0"/>
    <w:pPr>
      <w:snapToGrid/>
      <w:spacing w:after="120" w:line="240" w:lineRule="auto"/>
      <w:ind w:left="420" w:leftChars="200" w:firstLine="210" w:firstLineChars="200"/>
    </w:pPr>
    <w:rPr>
      <w:sz w:val="21"/>
    </w:rPr>
  </w:style>
  <w:style w:type="paragraph" w:styleId="59">
    <w:name w:val="header"/>
    <w:basedOn w:val="1"/>
    <w:link w:val="14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0">
    <w:name w:val="Signature"/>
    <w:basedOn w:val="1"/>
    <w:link w:val="165"/>
    <w:uiPriority w:val="0"/>
    <w:pPr>
      <w:ind w:left="100" w:leftChars="2100"/>
    </w:pPr>
    <w:rPr>
      <w:rFonts w:ascii="Times New Roman" w:hAnsi="Times New Roman"/>
      <w:szCs w:val="24"/>
    </w:rPr>
  </w:style>
  <w:style w:type="paragraph" w:styleId="61">
    <w:name w:val="toc 1"/>
    <w:basedOn w:val="1"/>
    <w:next w:val="1"/>
    <w:semiHidden/>
    <w:uiPriority w:val="0"/>
    <w:rPr>
      <w:rFonts w:ascii="Times New Roman" w:hAnsi="Times New Roman"/>
      <w:szCs w:val="24"/>
    </w:rPr>
  </w:style>
  <w:style w:type="paragraph" w:styleId="62">
    <w:name w:val="List Continue 4"/>
    <w:basedOn w:val="1"/>
    <w:uiPriority w:val="0"/>
    <w:pPr>
      <w:spacing w:after="120"/>
      <w:ind w:left="1680" w:leftChars="800"/>
    </w:pPr>
    <w:rPr>
      <w:rFonts w:ascii="Times New Roman" w:hAnsi="Times New Roman"/>
      <w:szCs w:val="24"/>
    </w:rPr>
  </w:style>
  <w:style w:type="paragraph" w:styleId="63">
    <w:name w:val="toc 4"/>
    <w:basedOn w:val="1"/>
    <w:next w:val="1"/>
    <w:semiHidden/>
    <w:uiPriority w:val="0"/>
    <w:pPr>
      <w:ind w:left="1260" w:leftChars="600"/>
    </w:pPr>
    <w:rPr>
      <w:rFonts w:ascii="Times New Roman" w:hAnsi="Times New Roman"/>
      <w:szCs w:val="24"/>
    </w:rPr>
  </w:style>
  <w:style w:type="paragraph" w:styleId="64">
    <w:name w:val="index heading"/>
    <w:basedOn w:val="1"/>
    <w:next w:val="65"/>
    <w:semiHidden/>
    <w:qFormat/>
    <w:uiPriority w:val="0"/>
    <w:rPr>
      <w:rFonts w:ascii="Arial" w:hAnsi="Arial" w:cs="Arial"/>
      <w:b/>
      <w:bCs/>
      <w:szCs w:val="24"/>
    </w:rPr>
  </w:style>
  <w:style w:type="paragraph" w:styleId="65">
    <w:name w:val="index 1"/>
    <w:basedOn w:val="1"/>
    <w:next w:val="1"/>
    <w:semiHidden/>
    <w:uiPriority w:val="0"/>
    <w:rPr>
      <w:rFonts w:ascii="Times New Roman" w:hAnsi="Times New Roman"/>
      <w:szCs w:val="24"/>
    </w:rPr>
  </w:style>
  <w:style w:type="paragraph" w:styleId="66">
    <w:name w:val="Subtitle"/>
    <w:basedOn w:val="1"/>
    <w:link w:val="167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7">
    <w:name w:val="List Number 5"/>
    <w:basedOn w:val="1"/>
    <w:uiPriority w:val="0"/>
    <w:pPr>
      <w:numPr>
        <w:ilvl w:val="0"/>
        <w:numId w:val="10"/>
      </w:numPr>
    </w:pPr>
    <w:rPr>
      <w:rFonts w:ascii="Times New Roman" w:hAnsi="Times New Roman"/>
      <w:szCs w:val="24"/>
    </w:rPr>
  </w:style>
  <w:style w:type="paragraph" w:styleId="68">
    <w:name w:val="List"/>
    <w:basedOn w:val="1"/>
    <w:uiPriority w:val="0"/>
    <w:pPr>
      <w:ind w:left="200" w:hanging="200" w:hangingChars="200"/>
    </w:pPr>
    <w:rPr>
      <w:rFonts w:ascii="Times New Roman" w:hAnsi="Times New Roman"/>
      <w:szCs w:val="24"/>
    </w:rPr>
  </w:style>
  <w:style w:type="paragraph" w:styleId="69">
    <w:name w:val="footnote text"/>
    <w:basedOn w:val="1"/>
    <w:link w:val="161"/>
    <w:semiHidden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70">
    <w:name w:val="toc 6"/>
    <w:basedOn w:val="1"/>
    <w:next w:val="1"/>
    <w:semiHidden/>
    <w:uiPriority w:val="0"/>
    <w:pPr>
      <w:ind w:left="2100" w:leftChars="1000"/>
    </w:pPr>
    <w:rPr>
      <w:rFonts w:ascii="Times New Roman" w:hAnsi="Times New Roman"/>
      <w:szCs w:val="24"/>
    </w:rPr>
  </w:style>
  <w:style w:type="paragraph" w:styleId="71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/>
      <w:szCs w:val="24"/>
    </w:rPr>
  </w:style>
  <w:style w:type="paragraph" w:styleId="72">
    <w:name w:val="Body Text Indent 3"/>
    <w:basedOn w:val="1"/>
    <w:link w:val="175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73">
    <w:name w:val="index 7"/>
    <w:basedOn w:val="1"/>
    <w:next w:val="1"/>
    <w:semiHidden/>
    <w:qFormat/>
    <w:uiPriority w:val="0"/>
    <w:pPr>
      <w:ind w:left="1200" w:leftChars="1200"/>
    </w:pPr>
    <w:rPr>
      <w:rFonts w:ascii="Times New Roman" w:hAnsi="Times New Roman"/>
      <w:szCs w:val="24"/>
    </w:rPr>
  </w:style>
  <w:style w:type="paragraph" w:styleId="74">
    <w:name w:val="index 9"/>
    <w:basedOn w:val="1"/>
    <w:next w:val="1"/>
    <w:semiHidden/>
    <w:uiPriority w:val="0"/>
    <w:pPr>
      <w:ind w:left="1600" w:leftChars="1600"/>
    </w:pPr>
    <w:rPr>
      <w:rFonts w:ascii="Times New Roman" w:hAnsi="Times New Roman"/>
      <w:szCs w:val="24"/>
    </w:rPr>
  </w:style>
  <w:style w:type="paragraph" w:styleId="75">
    <w:name w:val="table of figures"/>
    <w:basedOn w:val="1"/>
    <w:next w:val="1"/>
    <w:semiHidden/>
    <w:uiPriority w:val="0"/>
    <w:pPr>
      <w:ind w:left="840" w:leftChars="200" w:hanging="420" w:hangingChars="200"/>
    </w:pPr>
    <w:rPr>
      <w:rFonts w:ascii="Times New Roman" w:hAnsi="Times New Roman"/>
      <w:szCs w:val="24"/>
    </w:rPr>
  </w:style>
  <w:style w:type="paragraph" w:styleId="76">
    <w:name w:val="toc 2"/>
    <w:basedOn w:val="1"/>
    <w:next w:val="1"/>
    <w:semiHidden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77">
    <w:name w:val="toc 9"/>
    <w:basedOn w:val="1"/>
    <w:next w:val="1"/>
    <w:semiHidden/>
    <w:uiPriority w:val="0"/>
    <w:pPr>
      <w:ind w:left="3360" w:leftChars="1600"/>
    </w:pPr>
    <w:rPr>
      <w:rFonts w:ascii="Times New Roman" w:hAnsi="Times New Roman"/>
      <w:szCs w:val="24"/>
    </w:rPr>
  </w:style>
  <w:style w:type="paragraph" w:styleId="78">
    <w:name w:val="Body Text 2"/>
    <w:basedOn w:val="1"/>
    <w:link w:val="172"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79">
    <w:name w:val="List 4"/>
    <w:basedOn w:val="1"/>
    <w:uiPriority w:val="0"/>
    <w:pPr>
      <w:ind w:left="100" w:leftChars="600" w:hanging="200" w:hangingChars="200"/>
    </w:pPr>
    <w:rPr>
      <w:rFonts w:ascii="Times New Roman" w:hAnsi="Times New Roman"/>
      <w:szCs w:val="24"/>
    </w:rPr>
  </w:style>
  <w:style w:type="paragraph" w:styleId="80">
    <w:name w:val="List Continue 2"/>
    <w:basedOn w:val="1"/>
    <w:uiPriority w:val="0"/>
    <w:pPr>
      <w:spacing w:after="120"/>
      <w:ind w:left="840" w:leftChars="400"/>
    </w:pPr>
    <w:rPr>
      <w:rFonts w:ascii="Times New Roman" w:hAnsi="Times New Roman"/>
      <w:szCs w:val="24"/>
    </w:rPr>
  </w:style>
  <w:style w:type="paragraph" w:styleId="81">
    <w:name w:val="Message Header"/>
    <w:basedOn w:val="1"/>
    <w:link w:val="169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2">
    <w:name w:val="HTML Preformatted"/>
    <w:basedOn w:val="1"/>
    <w:link w:val="156"/>
    <w:qFormat/>
    <w:uiPriority w:val="0"/>
    <w:rPr>
      <w:rFonts w:ascii="Courier New" w:hAnsi="Courier New" w:cs="Courier New"/>
      <w:sz w:val="20"/>
      <w:szCs w:val="20"/>
    </w:rPr>
  </w:style>
  <w:style w:type="paragraph" w:styleId="83">
    <w:name w:val="Normal (Web)"/>
    <w:basedOn w:val="1"/>
    <w:uiPriority w:val="0"/>
    <w:rPr>
      <w:rFonts w:ascii="Times New Roman" w:hAnsi="Times New Roman"/>
      <w:sz w:val="24"/>
      <w:szCs w:val="24"/>
    </w:rPr>
  </w:style>
  <w:style w:type="paragraph" w:styleId="84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/>
      <w:szCs w:val="24"/>
    </w:rPr>
  </w:style>
  <w:style w:type="paragraph" w:styleId="85">
    <w:name w:val="index 2"/>
    <w:basedOn w:val="1"/>
    <w:next w:val="1"/>
    <w:semiHidden/>
    <w:uiPriority w:val="0"/>
    <w:pPr>
      <w:ind w:left="200" w:leftChars="200"/>
    </w:pPr>
    <w:rPr>
      <w:rFonts w:ascii="Times New Roman" w:hAnsi="Times New Roman"/>
      <w:szCs w:val="24"/>
    </w:rPr>
  </w:style>
  <w:style w:type="paragraph" w:styleId="86">
    <w:name w:val="Title"/>
    <w:basedOn w:val="1"/>
    <w:link w:val="157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8">
    <w:name w:val="page number"/>
    <w:basedOn w:val="87"/>
    <w:uiPriority w:val="0"/>
  </w:style>
  <w:style w:type="character" w:styleId="89">
    <w:name w:val="FollowedHyperlink"/>
    <w:basedOn w:val="87"/>
    <w:qFormat/>
    <w:uiPriority w:val="0"/>
    <w:rPr>
      <w:color w:val="800080"/>
      <w:u w:val="single"/>
    </w:rPr>
  </w:style>
  <w:style w:type="character" w:styleId="90">
    <w:name w:val="Hyperlink"/>
    <w:basedOn w:val="87"/>
    <w:qFormat/>
    <w:uiPriority w:val="0"/>
    <w:rPr>
      <w:color w:val="0000FF"/>
      <w:u w:val="single"/>
    </w:rPr>
  </w:style>
  <w:style w:type="table" w:styleId="92">
    <w:name w:val="Table Grid"/>
    <w:basedOn w:val="9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无间隔1"/>
    <w:link w:val="13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4">
    <w:name w:val="68BAF9E1919946E38FBF9403D0201D18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95">
    <w:name w:val="列出段落1"/>
    <w:basedOn w:val="1"/>
    <w:qFormat/>
    <w:uiPriority w:val="34"/>
    <w:pPr>
      <w:ind w:firstLine="420" w:firstLineChars="200"/>
    </w:pPr>
  </w:style>
  <w:style w:type="paragraph" w:customStyle="1" w:styleId="9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9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0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101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102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103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104">
    <w:name w:val="font13"/>
    <w:basedOn w:val="1"/>
    <w:uiPriority w:val="0"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u w:val="single"/>
    </w:rPr>
  </w:style>
  <w:style w:type="paragraph" w:customStyle="1" w:styleId="105">
    <w:name w:val="xl24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06">
    <w:name w:val="xl25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07">
    <w:name w:val="xl26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08">
    <w:name w:val="xl27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09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10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11">
    <w:name w:val="xl30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2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3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14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5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6">
    <w:name w:val="xl35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C0C0C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7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1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19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120">
    <w:name w:val="xl3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21">
    <w:name w:val="xl40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122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123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4">
    <w:name w:val="xl4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1"/>
    </w:rPr>
  </w:style>
  <w:style w:type="paragraph" w:customStyle="1" w:styleId="125">
    <w:name w:val="xl4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6">
    <w:name w:val="xl4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7">
    <w:name w:val="xl46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28">
    <w:name w:val="xl4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129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0">
    <w:name w:val="xl49"/>
    <w:basedOn w:val="1"/>
    <w:uiPriority w:val="0"/>
    <w:pPr>
      <w:widowControl/>
      <w:pBdr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1">
    <w:name w:val="xl50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2">
    <w:name w:val="xl51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1"/>
    </w:rPr>
  </w:style>
  <w:style w:type="paragraph" w:customStyle="1" w:styleId="133">
    <w:name w:val="xl52"/>
    <w:basedOn w:val="1"/>
    <w:qFormat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1"/>
    </w:rPr>
  </w:style>
  <w:style w:type="paragraph" w:customStyle="1" w:styleId="134">
    <w:name w:val="xl53"/>
    <w:basedOn w:val="1"/>
    <w:uiPriority w:val="0"/>
    <w:pPr>
      <w:widowControl/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5">
    <w:name w:val="xl5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136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37">
    <w:name w:val="正文 + 小三"/>
    <w:basedOn w:val="1"/>
    <w:uiPriority w:val="0"/>
    <w:rPr>
      <w:rFonts w:ascii="Times New Roman" w:hAnsi="Times New Roman"/>
      <w:b/>
      <w:sz w:val="30"/>
      <w:szCs w:val="24"/>
    </w:rPr>
  </w:style>
  <w:style w:type="paragraph" w:customStyle="1" w:styleId="138">
    <w:name w:val="L1-Body Char"/>
    <w:uiPriority w:val="0"/>
    <w:pPr>
      <w:widowControl w:val="0"/>
      <w:tabs>
        <w:tab w:val="left" w:pos="1440"/>
      </w:tabs>
      <w:spacing w:before="60" w:after="120" w:line="240" w:lineRule="exact"/>
    </w:pPr>
    <w:rPr>
      <w:rFonts w:ascii="Times" w:hAnsi="Times" w:eastAsia="宋体" w:cs="Times New Roman"/>
      <w:i/>
      <w:color w:val="000000"/>
      <w:lang w:val="en-US" w:eastAsia="en-US" w:bidi="ar-SA"/>
    </w:rPr>
  </w:style>
  <w:style w:type="character" w:customStyle="1" w:styleId="139">
    <w:name w:val="无间隔 Char"/>
    <w:basedOn w:val="87"/>
    <w:link w:val="93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40">
    <w:name w:val="批注框文本 Char"/>
    <w:basedOn w:val="87"/>
    <w:link w:val="55"/>
    <w:semiHidden/>
    <w:uiPriority w:val="99"/>
    <w:rPr>
      <w:sz w:val="18"/>
      <w:szCs w:val="18"/>
    </w:rPr>
  </w:style>
  <w:style w:type="character" w:customStyle="1" w:styleId="141">
    <w:name w:val="页眉 Char"/>
    <w:basedOn w:val="87"/>
    <w:link w:val="59"/>
    <w:uiPriority w:val="99"/>
    <w:rPr>
      <w:sz w:val="18"/>
      <w:szCs w:val="18"/>
    </w:rPr>
  </w:style>
  <w:style w:type="character" w:customStyle="1" w:styleId="142">
    <w:name w:val="页脚 Char"/>
    <w:basedOn w:val="87"/>
    <w:link w:val="56"/>
    <w:uiPriority w:val="99"/>
    <w:rPr>
      <w:sz w:val="18"/>
      <w:szCs w:val="18"/>
    </w:rPr>
  </w:style>
  <w:style w:type="character" w:customStyle="1" w:styleId="143">
    <w:name w:val="标题 1 Char"/>
    <w:basedOn w:val="87"/>
    <w:link w:val="2"/>
    <w:uiPriority w:val="0"/>
    <w:rPr>
      <w:rFonts w:ascii="Arial" w:hAnsi="Arial" w:eastAsia="宋体" w:cs="Arial"/>
      <w:b/>
      <w:bCs/>
      <w:iCs/>
      <w:color w:val="0000FF"/>
      <w:sz w:val="36"/>
      <w:szCs w:val="24"/>
    </w:rPr>
  </w:style>
  <w:style w:type="character" w:customStyle="1" w:styleId="144">
    <w:name w:val="标题 2 Char"/>
    <w:basedOn w:val="87"/>
    <w:link w:val="3"/>
    <w:uiPriority w:val="0"/>
    <w:rPr>
      <w:rFonts w:ascii="Times New Roman" w:hAnsi="Times New Roman" w:eastAsia="宋体" w:cs="Times New Roman"/>
      <w:b/>
      <w:bCs/>
      <w:kern w:val="0"/>
      <w:sz w:val="28"/>
      <w:szCs w:val="21"/>
    </w:rPr>
  </w:style>
  <w:style w:type="character" w:customStyle="1" w:styleId="145">
    <w:name w:val="标题 3 Char"/>
    <w:basedOn w:val="87"/>
    <w:link w:val="4"/>
    <w:uiPriority w:val="0"/>
    <w:rPr>
      <w:rFonts w:ascii="Times New Roman" w:hAnsi="Times New Roman" w:eastAsia="宋体" w:cs="Times New Roman"/>
      <w:b/>
      <w:sz w:val="28"/>
      <w:szCs w:val="24"/>
    </w:rPr>
  </w:style>
  <w:style w:type="character" w:customStyle="1" w:styleId="146">
    <w:name w:val="标题 4 Char"/>
    <w:basedOn w:val="87"/>
    <w:link w:val="5"/>
    <w:uiPriority w:val="0"/>
    <w:rPr>
      <w:rFonts w:ascii="Times New Roman" w:hAnsi="Times New Roman" w:eastAsia="宋体,Bold" w:cs="Times New Roman"/>
      <w:b/>
      <w:bCs/>
      <w:kern w:val="0"/>
      <w:sz w:val="24"/>
      <w:szCs w:val="18"/>
    </w:rPr>
  </w:style>
  <w:style w:type="character" w:customStyle="1" w:styleId="147">
    <w:name w:val="标题 5 Char"/>
    <w:basedOn w:val="87"/>
    <w:link w:val="6"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148">
    <w:name w:val="标题 6 Char"/>
    <w:basedOn w:val="87"/>
    <w:link w:val="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9">
    <w:name w:val="标题 7 Char"/>
    <w:basedOn w:val="87"/>
    <w:link w:val="8"/>
    <w:uiPriority w:val="0"/>
    <w:rPr>
      <w:rFonts w:ascii="Times New Roman" w:hAnsi="Times New Roman" w:eastAsia="宋体" w:cs="Times New Roman"/>
      <w:b/>
      <w:bCs/>
      <w:sz w:val="30"/>
      <w:szCs w:val="24"/>
    </w:rPr>
  </w:style>
  <w:style w:type="character" w:customStyle="1" w:styleId="150">
    <w:name w:val="标题 8 Char"/>
    <w:basedOn w:val="87"/>
    <w:link w:val="9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1">
    <w:name w:val="标题 9 Char"/>
    <w:basedOn w:val="87"/>
    <w:link w:val="10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2">
    <w:name w:val="文档结构图 Char"/>
    <w:basedOn w:val="87"/>
    <w:link w:val="28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53">
    <w:name w:val="正文文本 Char"/>
    <w:basedOn w:val="87"/>
    <w:link w:val="14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54">
    <w:name w:val="正文文本缩进 Char"/>
    <w:basedOn w:val="87"/>
    <w:link w:val="36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HTML 地址 Char"/>
    <w:basedOn w:val="87"/>
    <w:link w:val="42"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156">
    <w:name w:val="HTML 预设格式 Char"/>
    <w:basedOn w:val="87"/>
    <w:link w:val="82"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57">
    <w:name w:val="标题 Char"/>
    <w:basedOn w:val="87"/>
    <w:link w:val="8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58">
    <w:name w:val="称呼 Char"/>
    <w:basedOn w:val="87"/>
    <w:link w:val="32"/>
    <w:uiPriority w:val="0"/>
    <w:rPr>
      <w:rFonts w:ascii="Times New Roman" w:hAnsi="Times New Roman" w:eastAsia="宋体" w:cs="Times New Roman"/>
      <w:szCs w:val="24"/>
    </w:rPr>
  </w:style>
  <w:style w:type="character" w:customStyle="1" w:styleId="159">
    <w:name w:val="电子邮件签名 Char"/>
    <w:basedOn w:val="87"/>
    <w:link w:val="21"/>
    <w:uiPriority w:val="0"/>
    <w:rPr>
      <w:rFonts w:ascii="Times New Roman" w:hAnsi="Times New Roman" w:eastAsia="宋体" w:cs="Times New Roman"/>
      <w:szCs w:val="24"/>
    </w:rPr>
  </w:style>
  <w:style w:type="character" w:customStyle="1" w:styleId="160">
    <w:name w:val="宏文本 Char"/>
    <w:basedOn w:val="87"/>
    <w:link w:val="17"/>
    <w:semiHidden/>
    <w:uiPriority w:val="0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161">
    <w:name w:val="脚注文本 Char"/>
    <w:basedOn w:val="87"/>
    <w:link w:val="69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2">
    <w:name w:val="结束语 Char"/>
    <w:basedOn w:val="87"/>
    <w:link w:val="3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3">
    <w:name w:val="批注文字 Char"/>
    <w:basedOn w:val="87"/>
    <w:link w:val="30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4">
    <w:name w:val="纯文本 Char"/>
    <w:basedOn w:val="87"/>
    <w:link w:val="46"/>
    <w:qFormat/>
    <w:uiPriority w:val="0"/>
    <w:rPr>
      <w:rFonts w:ascii="宋体" w:hAnsi="Courier New" w:eastAsia="宋体" w:cs="Courier New"/>
      <w:szCs w:val="21"/>
    </w:rPr>
  </w:style>
  <w:style w:type="character" w:customStyle="1" w:styleId="165">
    <w:name w:val="签名 Char"/>
    <w:basedOn w:val="87"/>
    <w:link w:val="6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6">
    <w:name w:val="日期 Char"/>
    <w:basedOn w:val="87"/>
    <w:link w:val="5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7">
    <w:name w:val="副标题 Char"/>
    <w:basedOn w:val="87"/>
    <w:link w:val="66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68">
    <w:name w:val="尾注文本 Char"/>
    <w:basedOn w:val="87"/>
    <w:link w:val="5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9">
    <w:name w:val="信息标题 Char"/>
    <w:basedOn w:val="87"/>
    <w:link w:val="81"/>
    <w:qFormat/>
    <w:uiPriority w:val="0"/>
    <w:rPr>
      <w:rFonts w:ascii="Arial" w:hAnsi="Arial" w:eastAsia="宋体" w:cs="Arial"/>
      <w:sz w:val="24"/>
      <w:szCs w:val="24"/>
      <w:shd w:val="pct20" w:color="auto" w:fill="auto"/>
    </w:rPr>
  </w:style>
  <w:style w:type="character" w:customStyle="1" w:styleId="170">
    <w:name w:val="正文首行缩进 Char"/>
    <w:basedOn w:val="153"/>
    <w:link w:val="13"/>
    <w:qFormat/>
    <w:uiPriority w:val="0"/>
    <w:rPr>
      <w:szCs w:val="24"/>
    </w:rPr>
  </w:style>
  <w:style w:type="character" w:customStyle="1" w:styleId="171">
    <w:name w:val="正文首行缩进 2 Char"/>
    <w:basedOn w:val="154"/>
    <w:link w:val="58"/>
    <w:qFormat/>
    <w:uiPriority w:val="0"/>
  </w:style>
  <w:style w:type="character" w:customStyle="1" w:styleId="172">
    <w:name w:val="正文文本 2 Char"/>
    <w:basedOn w:val="87"/>
    <w:link w:val="7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3">
    <w:name w:val="正文文本 3 Char"/>
    <w:basedOn w:val="87"/>
    <w:link w:val="33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4">
    <w:name w:val="正文文本缩进 2 Char"/>
    <w:basedOn w:val="87"/>
    <w:link w:val="5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正文文本缩进 3 Char"/>
    <w:basedOn w:val="87"/>
    <w:link w:val="7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76">
    <w:name w:val="注释标题 Char"/>
    <w:basedOn w:val="87"/>
    <w:link w:val="18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emf"/><Relationship Id="rId11" Type="http://schemas.openxmlformats.org/officeDocument/2006/relationships/oleObject" Target="embeddings/oleObject2.bin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TIBTRONIX Technology Co., Ltd.</Company>
  <Pages>9</Pages>
  <Words>1372</Words>
  <Characters>7824</Characters>
  <Lines>65</Lines>
  <Paragraphs>18</Paragraphs>
  <ScaleCrop>false</ScaleCrop>
  <LinksUpToDate>false</LinksUpToDate>
  <CharactersWithSpaces>9178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2013-06-07T02:17:00Z</dcterms:created>
  <dc:creator>Sky123.Org</dc:creator>
  <cp:lastModifiedBy>Administrator</cp:lastModifiedBy>
  <dcterms:modified xsi:type="dcterms:W3CDTF">2017-09-27T03:44:45Z</dcterms:modified>
  <dc:subject> 155Mb/s 40Km SFP Transceiver                                                      Hot Pluggable, Duplex LC, +3.3V, 1310nm, FP-LD, Single-mode, DDM</dc:subject>
  <dc:title>TSPL1E40D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