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1"/>
        <w:tblW w:w="99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962" w:type="dxa"/>
            <w:vAlign w:val="top"/>
          </w:tcPr>
          <w:p>
            <w:pPr>
              <w:pStyle w:val="177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  <w:r>
              <w:rPr>
                <w:rFonts w:hint="eastAsia" w:ascii="Cambria" w:hAnsi="Cambria"/>
                <w:caps/>
                <w:kern w:val="2"/>
                <w:sz w:val="32"/>
                <w:szCs w:val="32"/>
                <w:lang w:val="en-US" w:eastAsia="zh-CN"/>
              </w:rPr>
              <w:t xml:space="preserve">SHENZHEN </w:t>
            </w:r>
            <w:r>
              <w:rPr>
                <w:rFonts w:hint="eastAsia" w:ascii="Cambria" w:hAnsi="Cambria"/>
                <w:caps/>
                <w:kern w:val="2"/>
                <w:sz w:val="32"/>
                <w:szCs w:val="32"/>
              </w:rPr>
              <w:t>TIBTRONIX Technology Co., Ltd.</w:t>
            </w:r>
          </w:p>
          <w:p>
            <w:pPr>
              <w:pStyle w:val="177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ascii="Cambria" w:hAnsi="Cambria" w:eastAsia="宋体"/>
                <w:caps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ascii="Cambria" w:hAnsi="Cambria" w:eastAsia="宋体"/>
                <w:caps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 w:eastAsia="宋体"/>
                <w:caps/>
                <w:sz w:val="32"/>
                <w:szCs w:val="32"/>
                <w:lang w:eastAsia="zh-CN"/>
              </w:rPr>
            </w:pPr>
            <w:r>
              <w:rPr>
                <w:rFonts w:hint="eastAsia" w:ascii="Cambria" w:hAnsi="Cambria" w:eastAsia="宋体"/>
                <w:caps/>
                <w:sz w:val="32"/>
                <w:szCs w:val="32"/>
                <w:lang w:eastAsia="zh-CN"/>
              </w:rPr>
              <w:pict>
                <v:shape id="_x0000_i1025" o:spt="75" alt="TIBTRONIX logo" type="#_x0000_t75" style="height:29.6pt;width:95.65pt;" filled="f" o:preferrelative="t" stroked="f" coordsize="21600,21600">
                  <v:path/>
                  <v:fill on="f" focussize="0,0"/>
                  <v:stroke on="f"/>
                  <v:imagedata r:id="rId7" o:title="TIBTRONIX logo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962" w:type="dxa"/>
            <w:tcBorders>
              <w:bottom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 w:eastAsia="宋体"/>
                <w:sz w:val="80"/>
                <w:szCs w:val="80"/>
              </w:rPr>
            </w:pPr>
            <w:r>
              <w:rPr>
                <w:rFonts w:hint="eastAsia" w:ascii="Cambria" w:hAnsi="Cambria" w:eastAsia="宋体"/>
                <w:b w:val="0"/>
                <w:bCs/>
                <w:sz w:val="80"/>
                <w:szCs w:val="80"/>
              </w:rPr>
              <w:t>TSPL1G</w:t>
            </w:r>
            <w:r>
              <w:rPr>
                <w:rFonts w:hint="eastAsia" w:ascii="Cambria" w:hAnsi="Cambria"/>
                <w:b w:val="0"/>
                <w:bCs/>
                <w:sz w:val="80"/>
                <w:szCs w:val="80"/>
                <w:lang w:val="en-US" w:eastAsia="zh-CN"/>
              </w:rPr>
              <w:t>G</w:t>
            </w:r>
            <w:r>
              <w:rPr>
                <w:rFonts w:hint="eastAsia" w:ascii="Cambria" w:hAnsi="Cambria" w:eastAsia="宋体"/>
                <w:b w:val="0"/>
                <w:bCs/>
                <w:sz w:val="80"/>
                <w:szCs w:val="80"/>
              </w:rPr>
              <w:t>0D-</w:t>
            </w:r>
            <w:r>
              <w:rPr>
                <w:rFonts w:hint="eastAsia" w:ascii="Cambria" w:hAnsi="Cambria"/>
                <w:b w:val="0"/>
                <w:bCs/>
                <w:sz w:val="80"/>
                <w:szCs w:val="80"/>
                <w:lang w:val="en-US" w:eastAsia="zh-CN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62" w:type="dxa"/>
            <w:tcBorders>
              <w:top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 w:eastAsia="宋体"/>
                <w:sz w:val="44"/>
                <w:szCs w:val="4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1.25Gb/s 1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0km CWDM SFP Transceiver                                                      Hot Pluggable, Duplex LC, +3.3V, 1270nm～1610nm, CWDM DFB, Single-mode, DDM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2014/1/1</w:t>
            </w:r>
          </w:p>
        </w:tc>
      </w:tr>
    </w:tbl>
    <w:p/>
    <w:p/>
    <w:tbl>
      <w:tblPr>
        <w:tblStyle w:val="91"/>
        <w:tblpPr w:leftFromText="187" w:rightFromText="187" w:horzAnchor="margin" w:tblpXSpec="center" w:tblpYSpec="bottom"/>
        <w:tblW w:w="9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vAlign w:val="top"/>
          </w:tcPr>
          <w:p>
            <w:pPr>
              <w:pStyle w:val="93"/>
            </w:pPr>
            <w:r>
              <w:rPr>
                <w:rFonts w:cs="Calibri"/>
                <w:kern w:val="10"/>
                <w:sz w:val="18"/>
                <w:szCs w:val="24"/>
              </w:rPr>
              <w:t xml:space="preserve">Shenzhen Tibtronix Technology Co., Ltd.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       </w:t>
            </w:r>
            <w:r>
              <w:rPr>
                <w:rFonts w:eastAsia="微软雅黑"/>
                <w:color w:val="000000"/>
                <w:sz w:val="18"/>
                <w:szCs w:val="18"/>
              </w:rPr>
              <w:t>3/F,12th Building, Nangang 1st Industrial Park, Baimang Xili, Songbai Road, Nanshan District, Shenzhen, China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Tel: +86 755 23316583        Fax: +86 755 </w:t>
            </w:r>
            <w:r>
              <w:rPr>
                <w:rFonts w:hint="eastAsia" w:cs="Calibri"/>
                <w:kern w:val="10"/>
                <w:sz w:val="18"/>
                <w:szCs w:val="24"/>
                <w:lang w:val="en-US" w:eastAsia="zh-CN"/>
              </w:rPr>
              <w:t>29810056</w:t>
            </w:r>
            <w:r>
              <w:rPr>
                <w:rFonts w:hint="eastAsia" w:cs="Calibri"/>
                <w:kern w:val="10"/>
                <w:sz w:val="18"/>
                <w:szCs w:val="24"/>
              </w:rPr>
              <w:tab/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E-mail: </w:t>
            </w:r>
            <w:r>
              <w:rPr>
                <w:rFonts w:cs="Calibri"/>
                <w:kern w:val="10"/>
                <w:sz w:val="18"/>
                <w:szCs w:val="24"/>
              </w:rPr>
              <w:t>sales@tibtronix.com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</w:t>
            </w:r>
            <w:bookmarkStart w:id="0" w:name="OLE_LINK1"/>
            <w:r>
              <w:rPr>
                <w:rFonts w:hint="eastAsia" w:cs="Calibri"/>
                <w:kern w:val="10"/>
                <w:sz w:val="18"/>
                <w:szCs w:val="24"/>
              </w:rPr>
              <w:t>http://www.tibtronix.com</w:t>
            </w:r>
            <w:bookmarkEnd w:id="0"/>
            <w:r>
              <w:rPr>
                <w:rFonts w:ascii="Calibri" w:hAnsi="Calibri" w:eastAsia="宋体" w:cs="Calibri"/>
                <w:kern w:val="10"/>
                <w:sz w:val="18"/>
                <w:szCs w:val="24"/>
              </w:rPr>
              <w:t xml:space="preserve">   </w:t>
            </w:r>
          </w:p>
        </w:tc>
      </w:tr>
    </w:tbl>
    <w:p/>
    <w:p>
      <w:pPr>
        <w:widowControl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o:spt="75" alt="SFP CWDM" type="#_x0000_t75" style="height:188.85pt;width:435.95pt;" filled="f" o:preferrelative="t" stroked="f" coordsize="21600,21600">
            <v:path/>
            <v:fill on="f" focussize="0,0"/>
            <v:stroke on="f"/>
            <v:imagedata r:id="rId8" o:title="SFP CWDM"/>
            <o:lock v:ext="edit" aspectratio="t"/>
            <w10:wrap type="none"/>
            <w10:anchorlock/>
          </v:shape>
        </w:pict>
      </w:r>
      <w:r>
        <w:rPr>
          <w:rFonts w:ascii="Calibri" w:hAnsi="Calibri" w:cs="Calibri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Calibri" w:hAnsi="Calibri" w:cs="Calibri"/>
          <w:b/>
          <w:kern w:val="0"/>
          <w:sz w:val="30"/>
        </w:rPr>
      </w:pPr>
      <w:r>
        <w:rPr>
          <w:rFonts w:ascii="Calibri" w:hAnsi="Calibri" w:cs="Calibri"/>
          <w:b/>
          <w:kern w:val="0"/>
          <w:sz w:val="30"/>
        </w:rPr>
        <w:t xml:space="preserve"> Features:                                             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cs="TimesNewRomanPSMT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Data-rate of 1.25Gbps operation</w:t>
      </w:r>
      <w:r>
        <w:rPr>
          <w:rFonts w:cs="TimesNewRomanPSMT"/>
          <w:kern w:val="0"/>
          <w:sz w:val="24"/>
          <w:szCs w:val="24"/>
        </w:rPr>
        <w:t xml:space="preserve">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cs="TimesNewRomanPSMT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18-Wavelength CWDM DFB LD Transmitter from</w:t>
      </w:r>
    </w:p>
    <w:p>
      <w:pPr>
        <w:pStyle w:val="95"/>
        <w:numPr>
          <w:ilvl w:val="0"/>
          <w:numId w:val="11"/>
        </w:numPr>
        <w:tabs>
          <w:tab w:val="left" w:pos="630"/>
        </w:tabs>
        <w:spacing w:line="36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1270nm to 1610nm, with Step 20nm</w:t>
      </w:r>
    </w:p>
    <w:p>
      <w:pPr>
        <w:pStyle w:val="95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Compliant with SFP MSA and SFF-8472</w:t>
      </w:r>
    </w:p>
    <w:p>
      <w:pPr>
        <w:pStyle w:val="95"/>
        <w:numPr>
          <w:ilvl w:val="0"/>
          <w:numId w:val="11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Compatible with SONET OC-24-LR-1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cs="TimesNewRomanPSMT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Compatible with RoHS</w:t>
      </w:r>
      <w:r>
        <w:rPr>
          <w:sz w:val="24"/>
          <w:szCs w:val="24"/>
        </w:rPr>
        <w:t xml:space="preserve"> 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+3.3V single power supply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Hot-Pluggable SFP Footprint Duplex LC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Operating case temperature</w:t>
      </w:r>
    </w:p>
    <w:p>
      <w:pPr>
        <w:pStyle w:val="95"/>
        <w:autoSpaceDE w:val="0"/>
        <w:autoSpaceDN w:val="0"/>
        <w:adjustRightInd w:val="0"/>
        <w:spacing w:line="360" w:lineRule="auto"/>
        <w:ind w:left="420" w:firstLine="0" w:firstLineChars="0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Standard : 0°C to +70°C</w:t>
      </w:r>
    </w:p>
    <w:p>
      <w:pPr>
        <w:pStyle w:val="95"/>
        <w:autoSpaceDE w:val="0"/>
        <w:autoSpaceDN w:val="0"/>
        <w:adjustRightInd w:val="0"/>
        <w:spacing w:line="360" w:lineRule="auto"/>
        <w:ind w:left="420" w:firstLine="0" w:firstLineChars="0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Extended: -</w:t>
      </w:r>
      <w:r>
        <w:rPr>
          <w:rFonts w:hint="eastAsia" w:cs="Calibri"/>
          <w:kern w:val="0"/>
          <w:sz w:val="24"/>
          <w:szCs w:val="24"/>
          <w:lang w:val="en-US" w:eastAsia="zh-CN"/>
        </w:rPr>
        <w:t>1</w:t>
      </w:r>
      <w:r>
        <w:rPr>
          <w:rFonts w:ascii="Calibri" w:hAnsi="Calibri" w:cs="Calibri"/>
          <w:kern w:val="0"/>
          <w:sz w:val="24"/>
          <w:szCs w:val="24"/>
        </w:rPr>
        <w:t>0°C to +85°C</w:t>
      </w:r>
    </w:p>
    <w:p>
      <w:pPr>
        <w:pStyle w:val="95"/>
        <w:spacing w:line="360" w:lineRule="auto"/>
        <w:ind w:left="420" w:firstLine="0"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Industrial: -40°C to +85°C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cs="Calibri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微软雅黑"/>
          <w:i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151" w:firstLineChars="50"/>
        <w:jc w:val="left"/>
        <w:outlineLvl w:val="0"/>
        <w:rPr>
          <w:rFonts w:ascii="Calibri" w:hAnsi="Calibri" w:cs="Calibri"/>
          <w:b/>
          <w:bCs/>
          <w:kern w:val="0"/>
          <w:sz w:val="30"/>
        </w:rPr>
      </w:pPr>
      <w:r>
        <w:rPr>
          <w:rFonts w:ascii="Calibri" w:hAnsi="Calibri" w:cs="Calibri"/>
          <w:b/>
          <w:sz w:val="30"/>
        </w:rPr>
        <w:t>Applications: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Gigabit Ethernet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Fiber Channel Switch Infrastructure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Router/Server interface</w:t>
      </w:r>
    </w:p>
    <w:p>
      <w:pPr>
        <w:pStyle w:val="95"/>
        <w:numPr>
          <w:ilvl w:val="0"/>
          <w:numId w:val="13"/>
        </w:numPr>
        <w:tabs>
          <w:tab w:val="left" w:pos="9592"/>
        </w:tabs>
        <w:spacing w:line="300" w:lineRule="auto"/>
        <w:ind w:firstLineChars="0"/>
        <w:rPr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Other optical transmission systems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Calibri" w:hAnsi="Calibri" w:eastAsia="MicrosoftYaHei-Identity-H"/>
          <w:kern w:val="0"/>
          <w:sz w:val="24"/>
        </w:rPr>
      </w:pPr>
    </w:p>
    <w:p>
      <w:pPr>
        <w:spacing w:line="36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Description: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The </w:t>
      </w:r>
      <w:r>
        <w:rPr>
          <w:rFonts w:hint="eastAsia" w:ascii="Calibri" w:hAnsi="Calibri" w:cs="Calibri"/>
          <w:b w:val="0"/>
          <w:bCs/>
          <w:kern w:val="0"/>
          <w:sz w:val="24"/>
          <w:szCs w:val="24"/>
        </w:rPr>
        <w:t>TSPL1G</w:t>
      </w:r>
      <w:r>
        <w:rPr>
          <w:rFonts w:hint="eastAsia" w:cs="Calibri"/>
          <w:b w:val="0"/>
          <w:bCs/>
          <w:kern w:val="0"/>
          <w:sz w:val="24"/>
          <w:szCs w:val="24"/>
          <w:lang w:val="en-US" w:eastAsia="zh-CN"/>
        </w:rPr>
        <w:t>G</w:t>
      </w:r>
      <w:r>
        <w:rPr>
          <w:rFonts w:hint="eastAsia" w:ascii="Calibri" w:hAnsi="Calibri" w:cs="Calibri"/>
          <w:b w:val="0"/>
          <w:bCs/>
          <w:kern w:val="0"/>
          <w:sz w:val="24"/>
          <w:szCs w:val="24"/>
        </w:rPr>
        <w:t>0D-xx</w:t>
      </w:r>
      <w:r>
        <w:rPr>
          <w:rFonts w:ascii="Calibri" w:hAnsi="Calibri" w:cs="Calibri"/>
          <w:kern w:val="0"/>
          <w:sz w:val="24"/>
          <w:szCs w:val="24"/>
        </w:rPr>
        <w:t xml:space="preserve"> series single mode transceiver is small form factor pluggable module for duplex optical data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communications such as Gigabit Ethernet 1000BASE-</w:t>
      </w:r>
      <w:r>
        <w:rPr>
          <w:rFonts w:hint="eastAsia" w:cs="Calibri"/>
          <w:kern w:val="0"/>
          <w:sz w:val="24"/>
          <w:szCs w:val="24"/>
          <w:lang w:val="en-US" w:eastAsia="zh-CN"/>
        </w:rPr>
        <w:t>E</w:t>
      </w:r>
      <w:r>
        <w:rPr>
          <w:rFonts w:ascii="Calibri" w:hAnsi="Calibri" w:cs="Calibri"/>
          <w:kern w:val="0"/>
          <w:sz w:val="24"/>
          <w:szCs w:val="24"/>
        </w:rPr>
        <w:t>ZX and Fiber Channel 1x SM-LC-L FC-PI. It is with the SFP 20-pin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connector to allow hot plug capability.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This module is designed for single mode fiber and operates at a nominal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wavelength of CWDM wavelength. There are eighteen center wavelengths available from 1270nm to 1610nm, with each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step 20nm.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The transmitter section uses a multiple quantum well CWDM DFB laser and is a class 1 laser compliant according to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International Safety Standard IEC-60825. The receiver section uses an integrated InGaAs detector preamplifier (IDP)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mounted in an optical header and a limiting post-amplifier IC. The </w:t>
      </w:r>
      <w:r>
        <w:rPr>
          <w:rFonts w:hint="eastAsia" w:ascii="Calibri" w:hAnsi="Calibri" w:cs="Calibri"/>
          <w:b/>
          <w:kern w:val="0"/>
          <w:sz w:val="24"/>
          <w:szCs w:val="24"/>
        </w:rPr>
        <w:t>TSPL1G</w:t>
      </w:r>
      <w:r>
        <w:rPr>
          <w:rFonts w:hint="eastAsia" w:cs="Calibri"/>
          <w:b/>
          <w:kern w:val="0"/>
          <w:sz w:val="24"/>
          <w:szCs w:val="24"/>
          <w:lang w:val="en-US" w:eastAsia="zh-CN"/>
        </w:rPr>
        <w:t>G</w:t>
      </w:r>
      <w:r>
        <w:rPr>
          <w:rFonts w:hint="eastAsia" w:ascii="Calibri" w:hAnsi="Calibri" w:cs="Calibri"/>
          <w:b/>
          <w:kern w:val="0"/>
          <w:sz w:val="24"/>
          <w:szCs w:val="24"/>
        </w:rPr>
        <w:t>0D-xx</w:t>
      </w:r>
      <w:r>
        <w:rPr>
          <w:rFonts w:ascii="Calibri" w:hAnsi="Calibri" w:cs="Calibri"/>
          <w:kern w:val="0"/>
          <w:sz w:val="24"/>
          <w:szCs w:val="24"/>
        </w:rPr>
        <w:t xml:space="preserve"> series are designed to be compliant</w:t>
      </w:r>
      <w:r>
        <w:rPr>
          <w:rFonts w:hint="eastAsia"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with SFF-8472.</w: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  <w:r>
        <w:rPr>
          <w:rFonts w:ascii="Calibri" w:hAnsi="Calibri" w:cs="Calibri"/>
          <w:b/>
          <w:bCs/>
          <w:kern w:val="0"/>
          <w:sz w:val="30"/>
          <w:szCs w:val="30"/>
        </w:rPr>
        <w:t>Absolute Maximum Ratings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  <w:gridCol w:w="1241"/>
        <w:gridCol w:w="789"/>
        <w:gridCol w:w="1092"/>
        <w:gridCol w:w="83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left="315" w:leftChars="150" w:firstLine="251" w:firstLineChars="104"/>
              <w:jc w:val="center"/>
              <w:rPr>
                <w:rFonts w:eastAsia="MS UI Gothic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241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78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Min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835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Max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/>
                <w:kern w:val="0"/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Storage </w:t>
            </w:r>
            <w:r>
              <w:rPr>
                <w:kern w:val="0"/>
                <w:sz w:val="24"/>
                <w:szCs w:val="24"/>
              </w:rPr>
              <w:t>T</w:t>
            </w:r>
            <w:r>
              <w:rPr>
                <w:rFonts w:eastAsia="MS UI Gothic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eastAsia="MS UI Gothic"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MS UI Gothic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+85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vAlign w:val="top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Supply </w:t>
            </w:r>
            <w:r>
              <w:rPr>
                <w:kern w:val="0"/>
                <w:sz w:val="24"/>
                <w:szCs w:val="24"/>
              </w:rPr>
              <w:t>V</w:t>
            </w:r>
            <w:r>
              <w:rPr>
                <w:rFonts w:eastAsia="MS UI Gothic"/>
                <w:kern w:val="0"/>
                <w:sz w:val="24"/>
                <w:szCs w:val="24"/>
              </w:rPr>
              <w:t>oltage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  <w:r>
              <w:rPr>
                <w:rFonts w:eastAsia="MS UI Gothic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-0.5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3.6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vAlign w:val="top"/>
          </w:tcPr>
          <w:p>
            <w:pPr>
              <w:spacing w:line="300" w:lineRule="auto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 xml:space="preserve">Relative </w:t>
            </w:r>
            <w:r>
              <w:rPr>
                <w:sz w:val="24"/>
                <w:szCs w:val="24"/>
              </w:rPr>
              <w:t>H</w:t>
            </w:r>
            <w:r>
              <w:rPr>
                <w:rFonts w:eastAsia="MS UI Gothic"/>
                <w:sz w:val="24"/>
                <w:szCs w:val="24"/>
              </w:rPr>
              <w:t>umidity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RH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00" w:lineRule="auto"/>
        <w:jc w:val="left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b/>
          <w:bCs/>
          <w:sz w:val="30"/>
          <w:szCs w:val="30"/>
        </w:rPr>
        <w:t>Recommended</w:t>
      </w:r>
      <w:r>
        <w:rPr>
          <w:rFonts w:ascii="Calibri" w:hAnsi="Calibri" w:cs="Calibri"/>
          <w:b/>
          <w:sz w:val="30"/>
          <w:szCs w:val="30"/>
        </w:rPr>
        <w:t xml:space="preserve"> Operating Environment: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2"/>
        <w:gridCol w:w="1152"/>
        <w:gridCol w:w="1026"/>
        <w:gridCol w:w="1052"/>
        <w:gridCol w:w="114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tcBorders>
              <w:bottom w:val="single" w:color="auto" w:sz="4" w:space="0"/>
            </w:tcBorders>
            <w:shd w:val="clear" w:color="auto" w:fill="A6A6A6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026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6A6A6"/>
            <w:vAlign w:val="top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shd w:val="clear" w:color="auto" w:fill="FFFFFF"/>
            <w:vAlign w:val="top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Case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MS UI Gothic" w:cs="Calibri"/>
                <w:sz w:val="24"/>
                <w:szCs w:val="24"/>
              </w:rPr>
              <w:t xml:space="preserve">operating 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eastAsia="MS UI Gothic" w:cs="Calibri"/>
                <w:sz w:val="24"/>
                <w:szCs w:val="24"/>
              </w:rPr>
              <w:t>emperature</w:t>
            </w: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Tc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+70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Supply </w:t>
            </w:r>
            <w:r>
              <w:rPr>
                <w:rFonts w:cs="Calibri"/>
                <w:kern w:val="0"/>
                <w:sz w:val="24"/>
                <w:szCs w:val="24"/>
              </w:rPr>
              <w:t>V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oltage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1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4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Supply Current</w:t>
            </w: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300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Data rate</w:t>
            </w: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GBE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1.25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vMerge w:val="continue"/>
            <w:shd w:val="clear" w:color="auto" w:fill="FFFFFF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/>
            <w:vAlign w:val="top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FC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1.063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Gbps</w:t>
            </w:r>
          </w:p>
        </w:tc>
      </w:tr>
    </w:tbl>
    <w:p>
      <w:pPr>
        <w:spacing w:line="300" w:lineRule="auto"/>
        <w:outlineLvl w:val="0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Electrical Characteristics(T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</w:t>
      </w:r>
      <w:r>
        <w:rPr>
          <w:rFonts w:hint="eastAsia"/>
          <w:b/>
          <w:bCs/>
          <w:kern w:val="0"/>
          <w:sz w:val="30"/>
          <w:szCs w:val="30"/>
        </w:rPr>
        <w:t>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70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 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31"/>
        <w:gridCol w:w="1178"/>
        <w:gridCol w:w="1207"/>
        <w:gridCol w:w="1096"/>
        <w:gridCol w:w="1148"/>
        <w:gridCol w:w="99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7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207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87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Input differential impedance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R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85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eastAsia="MingLiU" w:cs="Calibri"/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11</w:t>
            </w:r>
            <w:r>
              <w:rPr>
                <w:rFonts w:hint="eastAsia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Ω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Single ended data input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n 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40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20</w:t>
            </w:r>
            <w:r>
              <w:rPr>
                <w:rFonts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eastAsia="MingLiU" w:cs="Calibri"/>
                <w:sz w:val="24"/>
                <w:szCs w:val="24"/>
              </w:rPr>
              <w:t>Vp-p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Disable Voltage 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2.0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Enable Voltage 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EN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 xml:space="preserve">Tx Fault 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Fault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  <w:vertAlign w:val="subscript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Tx_f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2.0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Normal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Tx_n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Single ended data output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Vout,pp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3</w:t>
            </w:r>
            <w:r>
              <w:rPr>
                <w:rFonts w:hint="eastAsia" w:cs="Calibri"/>
                <w:kern w:val="0"/>
                <w:sz w:val="24"/>
                <w:szCs w:val="24"/>
              </w:rPr>
              <w:t>7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1</w:t>
            </w:r>
            <w:r>
              <w:rPr>
                <w:rFonts w:cs="Calibri"/>
                <w:kern w:val="0"/>
                <w:sz w:val="24"/>
                <w:szCs w:val="24"/>
              </w:rPr>
              <w:t>8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mv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Fault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losfault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Vcc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Normal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 nor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0.8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Optical Parameters(T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</w:t>
      </w:r>
      <w:r>
        <w:rPr>
          <w:rFonts w:hint="eastAsia"/>
          <w:b/>
          <w:bCs/>
          <w:kern w:val="0"/>
          <w:sz w:val="30"/>
          <w:szCs w:val="30"/>
        </w:rPr>
        <w:t>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70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7"/>
        <w:gridCol w:w="1152"/>
        <w:gridCol w:w="930"/>
        <w:gridCol w:w="1399"/>
        <w:gridCol w:w="1060"/>
        <w:gridCol w:w="84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Center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hint="eastAsia" w:cs="Calibri"/>
                <w:kern w:val="0"/>
                <w:sz w:val="24"/>
                <w:szCs w:val="24"/>
              </w:rPr>
              <w:t>-6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hint="eastAsia" w:cs="Calibri"/>
                <w:kern w:val="0"/>
                <w:sz w:val="24"/>
                <w:szCs w:val="24"/>
              </w:rPr>
              <w:t>+7.5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Spectral Width</w:t>
            </w:r>
            <w:r>
              <w:rPr>
                <w:rFonts w:hint="eastAsia" w:cs="Calibri"/>
                <w:kern w:val="0"/>
                <w:sz w:val="24"/>
                <w:szCs w:val="24"/>
              </w:rPr>
              <w:t>(-20dB)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△</w:t>
            </w:r>
            <w:r>
              <w:rPr>
                <w:rFonts w:cs="Calibri"/>
                <w:kern w:val="0"/>
                <w:sz w:val="24"/>
                <w:szCs w:val="24"/>
              </w:rPr>
              <w:t>λ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Side Mode Suppression Ratio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SMSR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30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Output Power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out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eastAsia="宋体" w:cs="Calibri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+5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Optical Rise/Fall Time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r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/ 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260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Extinction Ratio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8.2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Eye Mask for Optical Output</w:t>
            </w:r>
          </w:p>
        </w:tc>
        <w:tc>
          <w:tcPr>
            <w:tcW w:w="5388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Compliant with </w:t>
            </w:r>
            <w:r>
              <w:rPr>
                <w:rFonts w:hint="eastAsia" w:cs="Calibri"/>
                <w:kern w:val="0"/>
                <w:sz w:val="24"/>
                <w:szCs w:val="24"/>
              </w:rPr>
              <w:t>IEEE802.3z</w:t>
            </w:r>
            <w:r>
              <w:rPr>
                <w:rFonts w:cs="Calibri"/>
                <w:kern w:val="0"/>
                <w:sz w:val="24"/>
                <w:szCs w:val="24"/>
              </w:rPr>
              <w:t>(class 1 laser safety)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25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-84" w:rightChars="-40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Input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1260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1620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Receiver </w:t>
            </w:r>
            <w:r>
              <w:rPr>
                <w:rFonts w:cs="Calibri"/>
                <w:kern w:val="0"/>
                <w:sz w:val="24"/>
                <w:szCs w:val="24"/>
              </w:rPr>
              <w:t>O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verload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ol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-8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 </w:t>
            </w:r>
            <w:r>
              <w:rPr>
                <w:rFonts w:cs="Calibri"/>
                <w:kern w:val="0"/>
                <w:sz w:val="24"/>
                <w:szCs w:val="24"/>
              </w:rPr>
              <w:t>S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ensitivity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Sen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eastAsia="MS UI Gothic" w:cs="Calibri"/>
                <w:sz w:val="24"/>
                <w:szCs w:val="24"/>
              </w:rPr>
              <w:t>m</w:t>
            </w:r>
          </w:p>
        </w:tc>
        <w:tc>
          <w:tcPr>
            <w:tcW w:w="737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RX_LOS 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A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4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De</w:t>
            </w:r>
            <w:r>
              <w:rPr>
                <w:rFonts w:cs="Calibri"/>
                <w:kern w:val="0"/>
                <w:sz w:val="24"/>
                <w:szCs w:val="24"/>
              </w:rPr>
              <w:t>-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D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Hysteresis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LOS 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0.5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General Specifications: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Data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1.063/1.25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G</w:t>
            </w:r>
            <w:r>
              <w:rPr>
                <w:rFonts w:cs="Calibri"/>
                <w:sz w:val="24"/>
                <w:szCs w:val="24"/>
              </w:rPr>
              <w:t>b/s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Bit Error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BER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Max. Supported Link Length on </w:t>
            </w:r>
            <w:r>
              <w:rPr>
                <w:rFonts w:hint="eastAsia" w:cs="Calibri"/>
                <w:kern w:val="0"/>
                <w:sz w:val="24"/>
                <w:szCs w:val="24"/>
              </w:rPr>
              <w:t>9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/125μm </w:t>
            </w:r>
            <w:r>
              <w:rPr>
                <w:rFonts w:hint="eastAsia" w:cs="Calibri"/>
                <w:kern w:val="0"/>
                <w:sz w:val="24"/>
                <w:szCs w:val="24"/>
              </w:rPr>
              <w:t>S</w:t>
            </w:r>
            <w:r>
              <w:rPr>
                <w:rFonts w:cs="Calibri"/>
                <w:kern w:val="0"/>
                <w:sz w:val="24"/>
                <w:szCs w:val="24"/>
              </w:rPr>
              <w:t>MF@</w:t>
            </w:r>
            <w:r>
              <w:rPr>
                <w:rFonts w:hint="eastAsia" w:cs="Calibri"/>
                <w:kern w:val="0"/>
                <w:sz w:val="24"/>
                <w:szCs w:val="24"/>
              </w:rPr>
              <w:t>1.25G</w:t>
            </w:r>
            <w:r>
              <w:rPr>
                <w:rFonts w:cs="Calibri"/>
                <w:kern w:val="0"/>
                <w:sz w:val="24"/>
                <w:szCs w:val="24"/>
              </w:rPr>
              <w:t>b/s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L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Calibri"/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bookmarkStart w:id="1" w:name="OLE_LINK2"/>
            <w:r>
              <w:rPr>
                <w:rFonts w:eastAsia="MS UI Gothic" w:cs="Calibri"/>
                <w:kern w:val="0"/>
                <w:sz w:val="24"/>
                <w:szCs w:val="24"/>
              </w:rPr>
              <w:t>Total System Budget</w:t>
            </w:r>
            <w:bookmarkEnd w:id="1"/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LB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24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Note</w:t>
      </w:r>
    </w:p>
    <w:p>
      <w:pPr>
        <w:numPr>
          <w:ilvl w:val="0"/>
          <w:numId w:val="15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The optical power is launched into </w:t>
      </w:r>
      <w:r>
        <w:rPr>
          <w:rFonts w:hint="eastAsia"/>
          <w:kern w:val="0"/>
          <w:szCs w:val="21"/>
        </w:rPr>
        <w:t>S</w:t>
      </w:r>
      <w:r>
        <w:rPr>
          <w:kern w:val="0"/>
          <w:szCs w:val="21"/>
        </w:rPr>
        <w:t>MF</w:t>
      </w:r>
      <w:r>
        <w:rPr>
          <w:rFonts w:hint="eastAsia"/>
          <w:kern w:val="0"/>
          <w:szCs w:val="21"/>
        </w:rPr>
        <w:t>.</w:t>
      </w:r>
    </w:p>
    <w:p>
      <w:pPr>
        <w:numPr>
          <w:ilvl w:val="0"/>
          <w:numId w:val="15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20-80%. </w:t>
      </w:r>
    </w:p>
    <w:p>
      <w:pPr>
        <w:numPr>
          <w:ilvl w:val="0"/>
          <w:numId w:val="15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>Measured with PRBS 2</w:t>
      </w:r>
      <w:r>
        <w:rPr>
          <w:kern w:val="0"/>
          <w:szCs w:val="21"/>
          <w:vertAlign w:val="superscript"/>
        </w:rPr>
        <w:t>7-1</w:t>
      </w:r>
      <w:r>
        <w:rPr>
          <w:kern w:val="0"/>
          <w:szCs w:val="21"/>
        </w:rPr>
        <w:t xml:space="preserve"> at 10</w:t>
      </w:r>
      <w:r>
        <w:rPr>
          <w:kern w:val="0"/>
          <w:szCs w:val="21"/>
          <w:vertAlign w:val="superscript"/>
        </w:rPr>
        <w:t>-12</w:t>
      </w:r>
      <w:r>
        <w:rPr>
          <w:kern w:val="0"/>
          <w:szCs w:val="21"/>
        </w:rPr>
        <w:t xml:space="preserve"> BER</w:t>
      </w: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b/>
          <w:kern w:val="0"/>
          <w:sz w:val="30"/>
          <w:szCs w:val="30"/>
        </w:rPr>
      </w:pPr>
      <w:r>
        <w:rPr>
          <w:b/>
          <w:sz w:val="30"/>
          <w:szCs w:val="30"/>
        </w:rPr>
        <w:t>Pin Assignment</w:t>
      </w:r>
    </w:p>
    <w:p>
      <w:pPr>
        <w:pStyle w:val="95"/>
        <w:ind w:left="420" w:firstLine="0" w:firstLineChars="0"/>
        <w:rPr>
          <w:sz w:val="24"/>
        </w:rPr>
      </w:pPr>
      <w:r>
        <w:rPr>
          <w:sz w:val="24"/>
        </w:rPr>
        <w:t>Diagram of Host Board Connector Block Pin Numbers and Name</w:t>
      </w:r>
    </w:p>
    <w:p>
      <w:pPr>
        <w:pStyle w:val="95"/>
        <w:ind w:left="420"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 w:eastAsia="宋体"/>
          <w:kern w:val="2"/>
          <w:sz w:val="21"/>
          <w:szCs w:val="22"/>
          <w:lang w:val="en-US" w:eastAsia="zh-CN" w:bidi="ar-SA"/>
        </w:rPr>
        <w:object>
          <v:shape id="_x0000_i1027" o:spt="75" type="#_x0000_t75" style="height:239.1pt;width:322.65pt;" o:ole="t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WPS.Doc.6" ShapeID="_x0000_i1027" DrawAspect="Content" ObjectID="_1468075725" r:id="rId9">
            <o:LockedField>false</o:LockedField>
          </o:OLEObject>
        </w:object>
      </w:r>
    </w:p>
    <w:p>
      <w:pPr>
        <w:pStyle w:val="95"/>
        <w:ind w:left="420" w:firstLine="0" w:firstLineChars="0"/>
        <w:jc w:val="center"/>
        <w:rPr>
          <w:szCs w:val="21"/>
        </w:rPr>
      </w:pPr>
      <w:r>
        <w:rPr>
          <w:rFonts w:cs="Arial"/>
          <w:b/>
          <w:kern w:val="0"/>
          <w:szCs w:val="21"/>
        </w:rPr>
        <w:t>Diagram of Host Board Connector Block Pin Numbers and Names</w:t>
      </w:r>
    </w:p>
    <w:p>
      <w:pPr>
        <w:pStyle w:val="95"/>
        <w:ind w:left="420" w:firstLine="0" w:firstLineChars="0"/>
        <w:rPr>
          <w:b/>
          <w:sz w:val="30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bCs/>
          <w:sz w:val="30"/>
          <w:szCs w:val="30"/>
        </w:rPr>
        <w:t xml:space="preserve">Pin </w:t>
      </w:r>
      <w:r>
        <w:rPr>
          <w:b/>
          <w:bCs/>
          <w:kern w:val="0"/>
          <w:sz w:val="30"/>
          <w:szCs w:val="30"/>
        </w:rPr>
        <w:t>Function Definitions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44"/>
        <w:gridCol w:w="4015"/>
        <w:gridCol w:w="16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Pin No</w:t>
            </w:r>
          </w:p>
        </w:tc>
        <w:tc>
          <w:tcPr>
            <w:tcW w:w="1844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015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Function</w:t>
            </w:r>
          </w:p>
        </w:tc>
        <w:tc>
          <w:tcPr>
            <w:tcW w:w="1614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Plug Seq</w:t>
            </w:r>
          </w:p>
        </w:tc>
        <w:tc>
          <w:tcPr>
            <w:tcW w:w="1199" w:type="dxa"/>
            <w:shd w:val="clear" w:color="auto" w:fill="666666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Fault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Fault Indication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Disable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Disable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MOD-DEF2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MOD-DEF1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1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MOD-DEF0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0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Rate Select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Not Connected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Loss of Signal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RD-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Received Data Out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RD+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Received Data Out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VccR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Receiver Power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Power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TD+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 Data In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TD-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Transmit In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211" w:firstLineChars="100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Notes: 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Circuit ground is internally isolated from chassis ground.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Laser output disabled on TDIS &gt;2.0V or open, enabled on TDIS &lt;0.8V.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Should be pulled up with 4.7k - 10 kohms on host board to a voltage between 2.0V and 3.6V.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MOD_DEF(0) pulls line low to indicate module is plugged in.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Rate select is not used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LOS is open collector output. Should be pulled up with 4.7k – 10 kohms on host board to a voltage between 2.0V and 3.6V. Logic 0 indicates normal operation; logic 1 indicates loss of signal.</w:t>
      </w:r>
    </w:p>
    <w:p>
      <w:pPr>
        <w:numPr>
          <w:ilvl w:val="0"/>
          <w:numId w:val="16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rFonts w:cs="TimesNewRoman"/>
          <w:kern w:val="0"/>
          <w:szCs w:val="21"/>
        </w:rPr>
        <w:t>AC Coupled</w:t>
      </w:r>
    </w:p>
    <w:p/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color w:val="000000"/>
          <w:kern w:val="0"/>
          <w:sz w:val="30"/>
          <w:szCs w:val="30"/>
        </w:rPr>
        <w:t xml:space="preserve">SFP Module </w:t>
      </w:r>
      <w:r>
        <w:rPr>
          <w:b/>
          <w:bCs/>
          <w:color w:val="000000"/>
          <w:kern w:val="0"/>
          <w:sz w:val="30"/>
          <w:szCs w:val="30"/>
        </w:rPr>
        <w:t>EEPROM Information</w:t>
      </w:r>
      <w:r>
        <w:rPr>
          <w:b/>
          <w:color w:val="000000"/>
          <w:kern w:val="0"/>
          <w:sz w:val="30"/>
          <w:szCs w:val="30"/>
        </w:rPr>
        <w:t xml:space="preserve"> and Management</w:t>
      </w:r>
    </w:p>
    <w:p>
      <w:pPr>
        <w:pStyle w:val="95"/>
        <w:ind w:left="42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The SFP modules implement the 2-wire serial communication protocol as defined in the SFP </w:t>
      </w:r>
      <w:r>
        <w:rPr>
          <w:kern w:val="0"/>
          <w:sz w:val="24"/>
          <w:szCs w:val="24"/>
        </w:rPr>
        <w:t>-8472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serial ID information of the SFP modules and Digital Diagnostic Monitor parameters can be accessed through the 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C interface at address A0h and A2h. The memory is mapped in Table 1. Detailed ID information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(A0h) is listed in Table 2. And the DDM specification at address A2h. For more details of the memory map and byte definitions, please refer to the SFF-8472, “Digital Diagnostic Monitoring Interface for Optical Transceivers”.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DDM parameters have been internally calibrated.</w:t>
      </w:r>
    </w:p>
    <w:p>
      <w:pPr>
        <w:pStyle w:val="95"/>
        <w:ind w:left="420" w:firstLine="0" w:firstLineChars="0"/>
        <w:rPr>
          <w:sz w:val="24"/>
          <w:szCs w:val="24"/>
        </w:rPr>
      </w:pPr>
    </w:p>
    <w:p>
      <w:pPr>
        <w:ind w:firstLine="354" w:firstLineChars="147"/>
        <w:rPr>
          <w:sz w:val="24"/>
        </w:rPr>
      </w:pPr>
      <w:r>
        <w:rPr>
          <w:b/>
          <w:sz w:val="24"/>
        </w:rPr>
        <w:t>Table 1.</w:t>
      </w:r>
      <w:r>
        <w:rPr>
          <w:sz w:val="24"/>
        </w:rPr>
        <w:t xml:space="preserve"> Digital Diagnostic Memory Map (Specific Data Field Descriptions)</w:t>
      </w:r>
    </w:p>
    <w:p>
      <w:pPr>
        <w:ind w:firstLine="352" w:firstLineChars="147"/>
        <w:rPr>
          <w:sz w:val="24"/>
        </w:rPr>
      </w:pPr>
    </w:p>
    <w:p>
      <w:pPr>
        <w:ind w:firstLine="352" w:firstLineChars="147"/>
        <w:jc w:val="center"/>
        <w:rPr>
          <w:sz w:val="24"/>
        </w:rPr>
      </w:pPr>
      <w:r>
        <w:rPr>
          <w:rFonts w:ascii="Calibri" w:hAnsi="Calibri" w:eastAsia="宋体"/>
          <w:kern w:val="2"/>
          <w:sz w:val="24"/>
          <w:szCs w:val="22"/>
          <w:lang w:val="en-US" w:eastAsia="zh-CN" w:bidi="ar-SA"/>
        </w:rPr>
        <w:pict>
          <v:shape id="_x0000_i1028" o:spt="75" type="#_x0000_t75" style="height:223.65pt;width:299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 xml:space="preserve">Table 2 </w:t>
      </w:r>
      <w:r>
        <w:rPr>
          <w:kern w:val="0"/>
          <w:sz w:val="24"/>
        </w:rPr>
        <w:t>-</w:t>
      </w:r>
      <w:r>
        <w:rPr>
          <w:kern w:val="0"/>
          <w:szCs w:val="21"/>
        </w:rPr>
        <w:t xml:space="preserve"> </w:t>
      </w:r>
      <w:r>
        <w:rPr>
          <w:kern w:val="0"/>
          <w:sz w:val="24"/>
        </w:rPr>
        <w:t>EEPROM Serial ID Memory Contents (</w:t>
      </w:r>
      <w:r>
        <w:rPr>
          <w:b/>
          <w:bCs/>
          <w:kern w:val="0"/>
          <w:sz w:val="24"/>
        </w:rPr>
        <w:t>A0h</w:t>
      </w:r>
      <w:r>
        <w:rPr>
          <w:kern w:val="0"/>
          <w:sz w:val="24"/>
        </w:rPr>
        <w:t>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4"/>
        <w:gridCol w:w="1866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Data Address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(Byte)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Name of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Description and Contents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Base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Identifier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Type of Serial transceiver (03h=SFP)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identifier of type serial transceiver (04h)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Connector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Code of optical connector type (07=LC)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3-10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Transceiver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Encoding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NRZ(03h)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Nominal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Nominal baud rate, unit of 100Mbps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13-14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(0000h)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Length(9um)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9/125um fiber, units of 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Length(50um)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50/125um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Length(62.5um)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62.5/125um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Length(Copper)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Link length supported for copper, units of meters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20-35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Name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SFP vendor name: 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TIBTRONIX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37-39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OUI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SFP transceiver vendor OUI 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40-55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PN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 Number: “</w:t>
            </w:r>
            <w:r>
              <w:rPr>
                <w:rFonts w:cs="Calibri"/>
                <w:b/>
                <w:sz w:val="24"/>
                <w:szCs w:val="24"/>
              </w:rPr>
              <w:t>TSPL1G</w:t>
            </w:r>
            <w:r>
              <w:rPr>
                <w:rFonts w:hint="eastAsia" w:cs="Calibri"/>
                <w:b/>
                <w:sz w:val="24"/>
                <w:szCs w:val="24"/>
                <w:lang w:val="en-US" w:eastAsia="zh-CN"/>
              </w:rPr>
              <w:t>G</w:t>
            </w:r>
            <w:r>
              <w:rPr>
                <w:rFonts w:cs="Calibri"/>
                <w:b/>
                <w:sz w:val="24"/>
                <w:szCs w:val="24"/>
              </w:rPr>
              <w:t>0D-xx</w:t>
            </w:r>
            <w:r>
              <w:rPr>
                <w:rFonts w:cs="Calibri"/>
                <w:sz w:val="24"/>
                <w:szCs w:val="24"/>
              </w:rPr>
              <w:t>”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56-59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rev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Revision level for part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60-62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CCID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Least significant byte of sum of data in address 0-62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64-65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Option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Indicates which optical SFP signals are implemented</w:t>
            </w:r>
          </w:p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(001Ah = LOS, TX_FAULT, TX_DISABLE all supported)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max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Upper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min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Lower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68-83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SN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Serial number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84-91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code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TIBTRONIX</w:t>
            </w:r>
            <w:r>
              <w:rPr>
                <w:rFonts w:cs="Calibri"/>
                <w:sz w:val="24"/>
                <w:szCs w:val="24"/>
              </w:rPr>
              <w:t>’s Manufacturing date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92-94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CCEX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Check code for the extended ID Fields (addresses 64 to 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Specific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96-127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Readable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TIBTRONIX</w:t>
            </w:r>
            <w:r>
              <w:rPr>
                <w:rFonts w:cs="Calibri"/>
                <w:sz w:val="24"/>
                <w:szCs w:val="24"/>
              </w:rPr>
              <w:t xml:space="preserve"> specific date, read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128-255</w:t>
            </w:r>
          </w:p>
        </w:tc>
        <w:tc>
          <w:tcPr>
            <w:tcW w:w="1214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</w:t>
            </w:r>
          </w:p>
        </w:tc>
        <w:tc>
          <w:tcPr>
            <w:tcW w:w="1866" w:type="dxa"/>
            <w:shd w:val="clear" w:color="auto" w:fill="FFFFFF"/>
            <w:vAlign w:val="top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9" w:type="dxa"/>
            <w:shd w:val="clear" w:color="auto" w:fill="FFFFFF"/>
            <w:vAlign w:val="top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 for SFF-8079</w:t>
            </w:r>
          </w:p>
        </w:tc>
      </w:tr>
    </w:tbl>
    <w:p>
      <w:pPr>
        <w:rPr>
          <w:b/>
          <w:bCs/>
          <w:sz w:val="30"/>
          <w:szCs w:val="30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Digital Diagnostic Monitor Characteristics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921"/>
        <w:gridCol w:w="1616"/>
        <w:gridCol w:w="1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A6A6A6"/>
            <w:vAlign w:val="top"/>
          </w:tcPr>
          <w:p>
            <w:pPr>
              <w:ind w:firstLine="118" w:firstLineChars="49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Data Address</w:t>
            </w:r>
          </w:p>
        </w:tc>
        <w:tc>
          <w:tcPr>
            <w:tcW w:w="4921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616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Accuracy</w:t>
            </w:r>
          </w:p>
        </w:tc>
        <w:tc>
          <w:tcPr>
            <w:tcW w:w="1690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Unit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96-97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Transceiver Internal Temperature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98</w:t>
            </w:r>
            <w:r>
              <w:rPr>
                <w:color w:val="333333"/>
                <w:sz w:val="24"/>
              </w:rPr>
              <w:t>-</w:t>
            </w:r>
            <w:r>
              <w:rPr>
                <w:rFonts w:hint="eastAsia"/>
                <w:color w:val="333333"/>
                <w:sz w:val="24"/>
              </w:rPr>
              <w:t>99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kern w:val="0"/>
                <w:sz w:val="24"/>
              </w:rPr>
              <w:t>VCC3</w:t>
            </w:r>
            <w:r>
              <w:rPr>
                <w:color w:val="333333"/>
                <w:kern w:val="0"/>
                <w:sz w:val="24"/>
              </w:rPr>
              <w:t xml:space="preserve"> Internal Supply Voltage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Laser Bias Current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±10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  <w:r>
              <w:rPr>
                <w:rFonts w:hint="eastAsia"/>
                <w:color w:val="333333"/>
                <w:sz w:val="24"/>
              </w:rPr>
              <w:t>2-</w:t>
            </w:r>
            <w:r>
              <w:rPr>
                <w:color w:val="333333"/>
                <w:sz w:val="24"/>
              </w:rPr>
              <w:t>10</w:t>
            </w:r>
            <w:r>
              <w:rPr>
                <w:rFonts w:hint="eastAsia"/>
                <w:color w:val="333333"/>
                <w:sz w:val="24"/>
              </w:rPr>
              <w:t>3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Tx Output Power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  <w:vAlign w:val="top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  <w:r>
              <w:rPr>
                <w:rFonts w:hint="eastAsia"/>
                <w:color w:val="333333"/>
                <w:sz w:val="24"/>
              </w:rPr>
              <w:t>4</w:t>
            </w:r>
            <w:r>
              <w:rPr>
                <w:color w:val="333333"/>
                <w:sz w:val="24"/>
              </w:rPr>
              <w:t>-10</w:t>
            </w:r>
            <w:r>
              <w:rPr>
                <w:rFonts w:hint="eastAsia"/>
                <w:color w:val="333333"/>
                <w:sz w:val="24"/>
              </w:rPr>
              <w:t>5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Rx Input Power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</w:tbl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Regulatory Compliance</w: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The </w:t>
      </w:r>
      <w:r>
        <w:rPr>
          <w:rFonts w:hint="eastAsia"/>
          <w:b/>
          <w:sz w:val="24"/>
        </w:rPr>
        <w:t>TSPL1G</w:t>
      </w:r>
      <w:r>
        <w:rPr>
          <w:rFonts w:hint="eastAsia"/>
          <w:b/>
          <w:sz w:val="24"/>
          <w:lang w:val="en-US" w:eastAsia="zh-CN"/>
        </w:rPr>
        <w:t>G</w:t>
      </w:r>
      <w:r>
        <w:rPr>
          <w:rFonts w:hint="eastAsia"/>
          <w:b/>
          <w:sz w:val="24"/>
        </w:rPr>
        <w:t>0D-xx</w:t>
      </w:r>
      <w:r>
        <w:rPr>
          <w:kern w:val="0"/>
          <w:sz w:val="24"/>
        </w:rPr>
        <w:t xml:space="preserve"> complies with international Electromagnetic Compatibility (EMC) and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international safety requirements and standards (see details in Table following). </w:t>
      </w:r>
    </w:p>
    <w:p>
      <w:pPr>
        <w:pStyle w:val="95"/>
        <w:autoSpaceDE w:val="0"/>
        <w:autoSpaceDN w:val="0"/>
        <w:adjustRightInd w:val="0"/>
        <w:ind w:left="420" w:firstLine="0" w:firstLineChars="0"/>
        <w:jc w:val="left"/>
        <w:rPr>
          <w:kern w:val="0"/>
          <w:sz w:val="24"/>
        </w:rPr>
      </w:pPr>
    </w:p>
    <w:tbl>
      <w:tblPr>
        <w:tblStyle w:val="9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56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(ESD) to the Electrical Pins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MIL-STD-883E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Method 3015.7</w:t>
            </w:r>
          </w:p>
        </w:tc>
        <w:tc>
          <w:tcPr>
            <w:tcW w:w="3321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Class 1(&gt;1000 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 (ESD)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to the Duplex LC Receptacle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IEC 61000-4-2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GR-1089-CORE</w:t>
            </w:r>
          </w:p>
        </w:tc>
        <w:tc>
          <w:tcPr>
            <w:tcW w:w="3321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Electromagnetic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Interference (EMI)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FCC Part 15 Class B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EN55022 Class B (CISPR 22B)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VCCI Class B</w:t>
            </w:r>
          </w:p>
        </w:tc>
        <w:tc>
          <w:tcPr>
            <w:tcW w:w="3321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  <w:vAlign w:val="top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Laser Eye Safety</w:t>
            </w:r>
          </w:p>
        </w:tc>
        <w:tc>
          <w:tcPr>
            <w:tcW w:w="3556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FDA 21CFR 1040.10 and 1040.11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EN60950, EN (IEC) 60825-1,2</w:t>
            </w:r>
          </w:p>
        </w:tc>
        <w:tc>
          <w:tcPr>
            <w:tcW w:w="3321" w:type="dxa"/>
            <w:vAlign w:val="top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Class 1 laser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product.</w:t>
            </w:r>
          </w:p>
        </w:tc>
      </w:tr>
    </w:tbl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ascii="Calibri" w:hAnsi="Calibri" w:cs="Calibri"/>
          <w:kern w:val="0"/>
          <w:sz w:val="30"/>
          <w:szCs w:val="30"/>
        </w:rPr>
      </w:pPr>
      <w:r>
        <w:rPr>
          <w:b/>
          <w:sz w:val="30"/>
          <w:szCs w:val="30"/>
        </w:rPr>
        <w:t>Recommended Circuit</w:t>
      </w:r>
    </w:p>
    <w:p>
      <w:pPr>
        <w:pStyle w:val="95"/>
        <w:ind w:left="420" w:firstLine="0" w:firstLineChars="0"/>
        <w:jc w:val="center"/>
        <w:rPr>
          <w:b/>
          <w:sz w:val="24"/>
        </w:rPr>
      </w:pPr>
      <w:r>
        <w:rPr>
          <w:rFonts w:ascii="Calibri" w:hAnsi="Calibri" w:eastAsia="宋体"/>
          <w:b/>
          <w:kern w:val="2"/>
          <w:sz w:val="24"/>
          <w:szCs w:val="22"/>
          <w:lang w:val="en-US" w:eastAsia="zh-CN" w:bidi="ar-SA"/>
        </w:rPr>
        <w:pict>
          <v:shape id="_x0000_i1029" o:spt="75" type="#_x0000_t75" style="height:277.8pt;width:379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95"/>
        <w:ind w:left="420" w:firstLine="0" w:firstLineChars="0"/>
        <w:jc w:val="center"/>
        <w:rPr>
          <w:b/>
          <w:sz w:val="24"/>
          <w:szCs w:val="24"/>
        </w:rPr>
      </w:pPr>
      <w:r>
        <w:rPr>
          <w:rFonts w:cs="Arial"/>
          <w:b/>
          <w:kern w:val="0"/>
          <w:sz w:val="24"/>
          <w:szCs w:val="24"/>
        </w:rPr>
        <w:t>SFP Host Recommended Circuit</w:t>
      </w:r>
    </w:p>
    <w:p>
      <w:pPr>
        <w:spacing w:line="300" w:lineRule="auto"/>
        <w:rPr>
          <w:rFonts w:ascii="Calibri" w:hAnsi="Calibri" w:cs="Calibri"/>
          <w:kern w:val="0"/>
          <w:szCs w:val="21"/>
        </w:rPr>
      </w:pPr>
    </w:p>
    <w:p>
      <w:pPr>
        <w:numPr>
          <w:ilvl w:val="1"/>
          <w:numId w:val="14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  <w:r>
        <w:rPr>
          <w:b/>
          <w:bCs/>
          <w:sz w:val="30"/>
          <w:szCs w:val="30"/>
        </w:rPr>
        <w:t>Mechanical Dimensions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ascii="Calibri" w:hAnsi="Calibri" w:eastAsia="宋体,Bold" w:cs="Calibri"/>
          <w:b/>
          <w:bCs/>
          <w:kern w:val="0"/>
          <w:sz w:val="30"/>
          <w:szCs w:val="30"/>
        </w:rPr>
      </w:pPr>
      <w:r>
        <w:rPr>
          <w:rFonts w:ascii="Calibri" w:hAnsi="Calibri" w:eastAsia="宋体,Bold" w:cs="Calibri"/>
          <w:b/>
          <w:bCs/>
          <w:kern w:val="0"/>
          <w:sz w:val="30"/>
          <w:szCs w:val="30"/>
          <w:lang w:val="en-US" w:eastAsia="zh-CN" w:bidi="ar-SA"/>
        </w:rPr>
        <w:pict>
          <v:shape id="_x0000_i1030" o:spt="75" type="#_x0000_t75" style="height:246.55pt;width:429.15pt;" fillcolor="#FFFFFF" filled="f" o:preferrelative="t" stroked="f" coordsize="21600,21600">
            <v:path/>
            <v:fill on="f" color2="#FFFFFF" focussize="0,0"/>
            <v:stroke on="f"/>
            <v:imagedata r:id="rId13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  <w:r>
        <w:rPr>
          <w:rFonts w:cs="Arial"/>
          <w:b/>
          <w:kern w:val="0"/>
          <w:sz w:val="24"/>
          <w:szCs w:val="24"/>
        </w:rPr>
        <w:t>Mechanical Drawing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cs="Arial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eastAsia="宋体,Bold" w:cs="Calibri"/>
          <w:b/>
          <w:bCs/>
          <w:kern w:val="0"/>
          <w:sz w:val="24"/>
          <w:szCs w:val="24"/>
        </w:rPr>
      </w:pPr>
    </w:p>
    <w:p>
      <w:pPr>
        <w:pStyle w:val="95"/>
        <w:numPr>
          <w:ilvl w:val="0"/>
          <w:numId w:val="17"/>
        </w:numPr>
        <w:ind w:firstLineChars="0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Order Information:  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In the Part No. of </w:t>
      </w:r>
      <w:r>
        <w:rPr>
          <w:b/>
          <w:bCs/>
          <w:sz w:val="24"/>
          <w:u w:val="single"/>
        </w:rPr>
        <w:t>TSPL1G</w:t>
      </w:r>
      <w:r>
        <w:rPr>
          <w:rFonts w:hint="eastAsia"/>
          <w:b/>
          <w:bCs/>
          <w:sz w:val="24"/>
          <w:u w:val="single"/>
          <w:lang w:val="en-US" w:eastAsia="zh-CN"/>
        </w:rPr>
        <w:t>G</w:t>
      </w:r>
      <w:bookmarkStart w:id="2" w:name="_GoBack"/>
      <w:bookmarkEnd w:id="2"/>
      <w:r>
        <w:rPr>
          <w:b/>
          <w:bCs/>
          <w:sz w:val="24"/>
          <w:u w:val="single"/>
        </w:rPr>
        <w:t>0D-xx</w:t>
      </w:r>
      <w:r>
        <w:rPr>
          <w:b/>
          <w:bCs/>
          <w:sz w:val="24"/>
        </w:rPr>
        <w:t>, xx stands for central wavelength, such as: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27: for 1270nm, 29: for 1290nm, 31: for 1310nm,…… </w:t>
      </w:r>
      <w:r>
        <w:rPr>
          <w:rFonts w:hint="eastAsia"/>
          <w:b/>
          <w:bCs/>
          <w:sz w:val="24"/>
        </w:rPr>
        <w:t>61</w:t>
      </w:r>
      <w:r>
        <w:rPr>
          <w:b/>
          <w:bCs/>
          <w:sz w:val="24"/>
        </w:rPr>
        <w:t>: for 1</w:t>
      </w:r>
      <w:r>
        <w:rPr>
          <w:rFonts w:hint="eastAsia"/>
          <w:b/>
          <w:bCs/>
          <w:sz w:val="24"/>
        </w:rPr>
        <w:t>61</w:t>
      </w:r>
      <w:r>
        <w:rPr>
          <w:b/>
          <w:bCs/>
          <w:sz w:val="24"/>
        </w:rPr>
        <w:t>0nm.</w:t>
      </w:r>
    </w:p>
    <w:p>
      <w:pPr>
        <w:rPr>
          <w:b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rPr>
          <w:b/>
          <w:sz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yriad Pro">
    <w:altName w:val="Courier New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jc w:val="left"/>
      <w:rPr>
        <w:rFonts w:hint="eastAsia" w:eastAsia="宋体"/>
        <w:lang w:eastAsia="zh-CN"/>
      </w:rPr>
    </w:pPr>
  </w:p>
  <w:tbl>
    <w:tblPr>
      <w:tblStyle w:val="91"/>
      <w:tblW w:w="9962" w:type="dxa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973"/>
      <w:gridCol w:w="2989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6973" w:type="dxa"/>
          <w:shd w:val="clear" w:color="auto" w:fill="auto"/>
          <w:vAlign w:val="top"/>
        </w:tcPr>
        <w:p>
          <w:pPr>
            <w:pStyle w:val="56"/>
            <w:jc w:val="left"/>
            <w:rPr>
              <w:rFonts w:hint="eastAsia" w:eastAsia="宋体"/>
              <w:lang w:eastAsia="zh-CN"/>
            </w:rPr>
          </w:pPr>
          <w:r>
            <w:rPr>
              <w:rFonts w:hint="eastAsia" w:eastAsia="宋体"/>
              <w:lang w:eastAsia="zh-CN"/>
            </w:rPr>
            <w:pict>
              <v:shape id="_x0000_i1031" o:spt="75" alt="TIBTRONIX logo_副本" type="#_x0000_t75" style="height:18.8pt;width:61.3pt;" filled="f" o:preferrelative="t" stroked="f" coordsize="21600,21600">
                <v:path/>
                <v:fill on="f" focussize="0,0"/>
                <v:stroke on="f"/>
                <v:imagedata r:id="rId1" o:title="TIBTRONIX logo_副本"/>
                <o:lock v:ext="edit" aspectratio="t"/>
                <w10:wrap type="none"/>
                <w10:anchorlock/>
              </v:shape>
            </w:pict>
          </w:r>
        </w:p>
      </w:tc>
      <w:tc>
        <w:tcPr>
          <w:tcW w:w="2989" w:type="dxa"/>
          <w:shd w:val="clear" w:color="auto" w:fill="8064A2"/>
          <w:vAlign w:val="top"/>
        </w:tcPr>
        <w:p>
          <w:pPr>
            <w:pStyle w:val="56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t>2</w:t>
          </w:r>
          <w:r>
            <w:rPr>
              <w:color w:val="FFFFFF"/>
              <w:lang w:val="zh-CN"/>
            </w:rPr>
            <w:fldChar w:fldCharType="end"/>
          </w:r>
        </w:p>
      </w:tc>
    </w:tr>
  </w:tbl>
  <w:p>
    <w:pPr>
      <w:pStyle w:val="5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1"/>
      <w:tblW w:w="996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94"/>
      <w:gridCol w:w="846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75" w:hRule="atLeast"/>
      </w:trPr>
      <w:tc>
        <w:tcPr>
          <w:tcW w:w="1494" w:type="dxa"/>
          <w:shd w:val="clear" w:color="auto" w:fill="000000"/>
          <w:vAlign w:val="top"/>
        </w:tcPr>
        <w:p>
          <w:pPr>
            <w:pStyle w:val="59"/>
            <w:pBdr>
              <w:bottom w:val="none" w:color="auto" w:sz="0" w:space="1"/>
            </w:pBdr>
            <w:rPr>
              <w:color w:val="FFFFFF"/>
            </w:rPr>
          </w:pPr>
        </w:p>
      </w:tc>
      <w:tc>
        <w:tcPr>
          <w:tcW w:w="8468" w:type="dxa"/>
          <w:shd w:val="clear" w:color="auto" w:fill="8064A2"/>
          <w:vAlign w:val="center"/>
        </w:tcPr>
        <w:p>
          <w:pPr>
            <w:pStyle w:val="59"/>
            <w:pBdr>
              <w:bottom w:val="none" w:color="auto" w:sz="0" w:space="1"/>
            </w:pBdr>
            <w:rPr>
              <w:rFonts w:hint="eastAsia" w:eastAsia="宋体"/>
              <w:caps/>
              <w:color w:val="FFFFFF"/>
              <w:lang w:val="en-US" w:eastAsia="zh-CN"/>
            </w:rPr>
          </w:pPr>
          <w:r>
            <w:rPr>
              <w:rFonts w:hint="eastAsia"/>
              <w:caps/>
              <w:color w:val="FFFFFF"/>
              <w:lang w:val="en-US" w:eastAsia="zh-CN"/>
            </w:rPr>
            <w:t>TSPL1GG0D-XX</w:t>
          </w:r>
        </w:p>
      </w:tc>
    </w:tr>
  </w:tbl>
  <w:p>
    <w:pPr>
      <w:pStyle w:val="5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9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5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22390B34"/>
    <w:multiLevelType w:val="multilevel"/>
    <w:tmpl w:val="22390B3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225837D0"/>
    <w:multiLevelType w:val="multilevel"/>
    <w:tmpl w:val="225837D0"/>
    <w:lvl w:ilvl="0" w:tentative="0">
      <w:start w:val="1"/>
      <w:numFmt w:val="decimal"/>
      <w:lvlText w:val="%1."/>
      <w:lvlJc w:val="left"/>
      <w:pPr>
        <w:tabs>
          <w:tab w:val="left" w:pos="945"/>
        </w:tabs>
        <w:ind w:left="945" w:hanging="420"/>
      </w:pPr>
    </w:lvl>
    <w:lvl w:ilvl="1" w:tentative="0">
      <w:start w:val="1"/>
      <w:numFmt w:val="bullet"/>
      <w:lvlText w:val="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12">
    <w:nsid w:val="2543387B"/>
    <w:multiLevelType w:val="multilevel"/>
    <w:tmpl w:val="2543387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61885725"/>
    <w:multiLevelType w:val="multilevel"/>
    <w:tmpl w:val="61885725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宋体"/>
        <w:sz w:val="16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6689501C"/>
    <w:multiLevelType w:val="multilevel"/>
    <w:tmpl w:val="6689501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6E783889"/>
    <w:multiLevelType w:val="multilevel"/>
    <w:tmpl w:val="6E78388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7F09619D"/>
    <w:multiLevelType w:val="multilevel"/>
    <w:tmpl w:val="7F09619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08B"/>
    <w:rsid w:val="000018B0"/>
    <w:rsid w:val="0000424B"/>
    <w:rsid w:val="000116D8"/>
    <w:rsid w:val="000119C4"/>
    <w:rsid w:val="00035820"/>
    <w:rsid w:val="00042762"/>
    <w:rsid w:val="000434B8"/>
    <w:rsid w:val="00051F9E"/>
    <w:rsid w:val="0005432F"/>
    <w:rsid w:val="00055AC5"/>
    <w:rsid w:val="000713DB"/>
    <w:rsid w:val="000A1F3C"/>
    <w:rsid w:val="000B1D9E"/>
    <w:rsid w:val="000C51CD"/>
    <w:rsid w:val="000D47E9"/>
    <w:rsid w:val="000D6FE0"/>
    <w:rsid w:val="000E2133"/>
    <w:rsid w:val="000E68D9"/>
    <w:rsid w:val="000F0E54"/>
    <w:rsid w:val="000F1BDE"/>
    <w:rsid w:val="00104958"/>
    <w:rsid w:val="00104BD2"/>
    <w:rsid w:val="00123BE0"/>
    <w:rsid w:val="0013559A"/>
    <w:rsid w:val="00140061"/>
    <w:rsid w:val="0015536C"/>
    <w:rsid w:val="00163C98"/>
    <w:rsid w:val="00171755"/>
    <w:rsid w:val="00181CF5"/>
    <w:rsid w:val="00192F60"/>
    <w:rsid w:val="00197D93"/>
    <w:rsid w:val="001A2439"/>
    <w:rsid w:val="001C0900"/>
    <w:rsid w:val="001C608E"/>
    <w:rsid w:val="001E5605"/>
    <w:rsid w:val="002075B1"/>
    <w:rsid w:val="00226AFF"/>
    <w:rsid w:val="00243B43"/>
    <w:rsid w:val="0024769D"/>
    <w:rsid w:val="002579D8"/>
    <w:rsid w:val="00264DAB"/>
    <w:rsid w:val="0027041F"/>
    <w:rsid w:val="00284E8D"/>
    <w:rsid w:val="00290331"/>
    <w:rsid w:val="00295762"/>
    <w:rsid w:val="00297C1C"/>
    <w:rsid w:val="002A1560"/>
    <w:rsid w:val="002B2C82"/>
    <w:rsid w:val="002B3E19"/>
    <w:rsid w:val="002C2032"/>
    <w:rsid w:val="002C3FC4"/>
    <w:rsid w:val="002C5754"/>
    <w:rsid w:val="002C636C"/>
    <w:rsid w:val="002E32ED"/>
    <w:rsid w:val="002E61C3"/>
    <w:rsid w:val="002E6F37"/>
    <w:rsid w:val="002F5EFD"/>
    <w:rsid w:val="00325AE1"/>
    <w:rsid w:val="00330932"/>
    <w:rsid w:val="00331A8F"/>
    <w:rsid w:val="00340CBD"/>
    <w:rsid w:val="00356AE6"/>
    <w:rsid w:val="00360A28"/>
    <w:rsid w:val="003615AB"/>
    <w:rsid w:val="00363B97"/>
    <w:rsid w:val="00370906"/>
    <w:rsid w:val="00381B57"/>
    <w:rsid w:val="003864ED"/>
    <w:rsid w:val="0039239B"/>
    <w:rsid w:val="003952C4"/>
    <w:rsid w:val="003A6E61"/>
    <w:rsid w:val="003A7912"/>
    <w:rsid w:val="003C55F0"/>
    <w:rsid w:val="003C64B0"/>
    <w:rsid w:val="003D6052"/>
    <w:rsid w:val="003E03FC"/>
    <w:rsid w:val="003E2EE2"/>
    <w:rsid w:val="003E514E"/>
    <w:rsid w:val="00411BC0"/>
    <w:rsid w:val="00426D39"/>
    <w:rsid w:val="00444DD8"/>
    <w:rsid w:val="00490959"/>
    <w:rsid w:val="00492960"/>
    <w:rsid w:val="004A487A"/>
    <w:rsid w:val="004C3528"/>
    <w:rsid w:val="004C4182"/>
    <w:rsid w:val="004D47DD"/>
    <w:rsid w:val="004D5000"/>
    <w:rsid w:val="00500D97"/>
    <w:rsid w:val="00514A67"/>
    <w:rsid w:val="0052773F"/>
    <w:rsid w:val="005404A4"/>
    <w:rsid w:val="0054124D"/>
    <w:rsid w:val="00541925"/>
    <w:rsid w:val="00563000"/>
    <w:rsid w:val="00565A9C"/>
    <w:rsid w:val="0057510C"/>
    <w:rsid w:val="005929AC"/>
    <w:rsid w:val="005A0328"/>
    <w:rsid w:val="005A1847"/>
    <w:rsid w:val="005B1F9C"/>
    <w:rsid w:val="005C2371"/>
    <w:rsid w:val="005C4CAF"/>
    <w:rsid w:val="005D25E8"/>
    <w:rsid w:val="005D39E7"/>
    <w:rsid w:val="005F3672"/>
    <w:rsid w:val="005F5E94"/>
    <w:rsid w:val="006000A3"/>
    <w:rsid w:val="00600D74"/>
    <w:rsid w:val="00602F03"/>
    <w:rsid w:val="006242B5"/>
    <w:rsid w:val="00636EDC"/>
    <w:rsid w:val="00652755"/>
    <w:rsid w:val="0065317B"/>
    <w:rsid w:val="006557B5"/>
    <w:rsid w:val="00655886"/>
    <w:rsid w:val="0065595B"/>
    <w:rsid w:val="00692AC7"/>
    <w:rsid w:val="00692EB2"/>
    <w:rsid w:val="006C1A30"/>
    <w:rsid w:val="006C547A"/>
    <w:rsid w:val="006F7D14"/>
    <w:rsid w:val="007017F6"/>
    <w:rsid w:val="00720C08"/>
    <w:rsid w:val="007212C3"/>
    <w:rsid w:val="007621C2"/>
    <w:rsid w:val="00765F61"/>
    <w:rsid w:val="00766BF7"/>
    <w:rsid w:val="007811F1"/>
    <w:rsid w:val="007C2EC3"/>
    <w:rsid w:val="007D5F76"/>
    <w:rsid w:val="007E2FD3"/>
    <w:rsid w:val="007E4692"/>
    <w:rsid w:val="007F0AFB"/>
    <w:rsid w:val="007F3539"/>
    <w:rsid w:val="007F38D0"/>
    <w:rsid w:val="0081708B"/>
    <w:rsid w:val="00827990"/>
    <w:rsid w:val="0083208D"/>
    <w:rsid w:val="008461D5"/>
    <w:rsid w:val="00851E95"/>
    <w:rsid w:val="0085404E"/>
    <w:rsid w:val="00862714"/>
    <w:rsid w:val="00873F89"/>
    <w:rsid w:val="008757EA"/>
    <w:rsid w:val="008A0AA5"/>
    <w:rsid w:val="008A1AD3"/>
    <w:rsid w:val="008A2FC3"/>
    <w:rsid w:val="008A4E2B"/>
    <w:rsid w:val="008C020E"/>
    <w:rsid w:val="008C0AC9"/>
    <w:rsid w:val="008C5803"/>
    <w:rsid w:val="008D47E4"/>
    <w:rsid w:val="008F11B7"/>
    <w:rsid w:val="00924172"/>
    <w:rsid w:val="00927E9C"/>
    <w:rsid w:val="00930CFE"/>
    <w:rsid w:val="009341B1"/>
    <w:rsid w:val="009408B8"/>
    <w:rsid w:val="00941D9A"/>
    <w:rsid w:val="00942BBC"/>
    <w:rsid w:val="00946C38"/>
    <w:rsid w:val="00962D4E"/>
    <w:rsid w:val="00982B2C"/>
    <w:rsid w:val="00982B92"/>
    <w:rsid w:val="0098705D"/>
    <w:rsid w:val="00997DA5"/>
    <w:rsid w:val="009A64CE"/>
    <w:rsid w:val="009B03CB"/>
    <w:rsid w:val="009B65AE"/>
    <w:rsid w:val="009C1942"/>
    <w:rsid w:val="009D1E4F"/>
    <w:rsid w:val="009D27E7"/>
    <w:rsid w:val="009F14A2"/>
    <w:rsid w:val="00A06900"/>
    <w:rsid w:val="00A1069E"/>
    <w:rsid w:val="00A107DF"/>
    <w:rsid w:val="00A237A8"/>
    <w:rsid w:val="00A26255"/>
    <w:rsid w:val="00A31669"/>
    <w:rsid w:val="00A37407"/>
    <w:rsid w:val="00A513B2"/>
    <w:rsid w:val="00A63BC9"/>
    <w:rsid w:val="00A750DC"/>
    <w:rsid w:val="00A869AD"/>
    <w:rsid w:val="00A871C2"/>
    <w:rsid w:val="00AA2BDF"/>
    <w:rsid w:val="00AA6798"/>
    <w:rsid w:val="00AD530B"/>
    <w:rsid w:val="00AE6EE3"/>
    <w:rsid w:val="00AF1309"/>
    <w:rsid w:val="00AF1CAE"/>
    <w:rsid w:val="00AF4F81"/>
    <w:rsid w:val="00B261AC"/>
    <w:rsid w:val="00B31F7A"/>
    <w:rsid w:val="00B4084C"/>
    <w:rsid w:val="00B47949"/>
    <w:rsid w:val="00B57D50"/>
    <w:rsid w:val="00B66E8E"/>
    <w:rsid w:val="00B74DD1"/>
    <w:rsid w:val="00B763A0"/>
    <w:rsid w:val="00B836C1"/>
    <w:rsid w:val="00B906F1"/>
    <w:rsid w:val="00BA4171"/>
    <w:rsid w:val="00BA56C6"/>
    <w:rsid w:val="00BB2892"/>
    <w:rsid w:val="00BC2083"/>
    <w:rsid w:val="00BC6BC6"/>
    <w:rsid w:val="00C133B5"/>
    <w:rsid w:val="00C14FDC"/>
    <w:rsid w:val="00C3026F"/>
    <w:rsid w:val="00C46FED"/>
    <w:rsid w:val="00C63EC8"/>
    <w:rsid w:val="00C72C97"/>
    <w:rsid w:val="00C828A4"/>
    <w:rsid w:val="00C9290A"/>
    <w:rsid w:val="00C9362A"/>
    <w:rsid w:val="00CA4334"/>
    <w:rsid w:val="00CA5F98"/>
    <w:rsid w:val="00CB07A8"/>
    <w:rsid w:val="00CC3C2A"/>
    <w:rsid w:val="00CD32DF"/>
    <w:rsid w:val="00CE32D0"/>
    <w:rsid w:val="00CF6250"/>
    <w:rsid w:val="00D019C6"/>
    <w:rsid w:val="00D102EE"/>
    <w:rsid w:val="00D10CFD"/>
    <w:rsid w:val="00D136D5"/>
    <w:rsid w:val="00D2388D"/>
    <w:rsid w:val="00D24547"/>
    <w:rsid w:val="00D6501D"/>
    <w:rsid w:val="00D65AB6"/>
    <w:rsid w:val="00D979EB"/>
    <w:rsid w:val="00DB77C9"/>
    <w:rsid w:val="00DC10EB"/>
    <w:rsid w:val="00DC1C5D"/>
    <w:rsid w:val="00DC746E"/>
    <w:rsid w:val="00DD7CAA"/>
    <w:rsid w:val="00DF2998"/>
    <w:rsid w:val="00DF4D6F"/>
    <w:rsid w:val="00DF7D1E"/>
    <w:rsid w:val="00E015D2"/>
    <w:rsid w:val="00E025D1"/>
    <w:rsid w:val="00E07901"/>
    <w:rsid w:val="00E12341"/>
    <w:rsid w:val="00E12B0D"/>
    <w:rsid w:val="00E308FE"/>
    <w:rsid w:val="00E5250C"/>
    <w:rsid w:val="00E52656"/>
    <w:rsid w:val="00E55CC7"/>
    <w:rsid w:val="00E6275F"/>
    <w:rsid w:val="00E70D06"/>
    <w:rsid w:val="00EA2DF8"/>
    <w:rsid w:val="00EB0639"/>
    <w:rsid w:val="00EB3554"/>
    <w:rsid w:val="00EB7AE9"/>
    <w:rsid w:val="00EC2A61"/>
    <w:rsid w:val="00ED1BE8"/>
    <w:rsid w:val="00ED427E"/>
    <w:rsid w:val="00EE2019"/>
    <w:rsid w:val="00EE4FF1"/>
    <w:rsid w:val="00F1120C"/>
    <w:rsid w:val="00F24985"/>
    <w:rsid w:val="00F27088"/>
    <w:rsid w:val="00F27D49"/>
    <w:rsid w:val="00F32291"/>
    <w:rsid w:val="00F43B9C"/>
    <w:rsid w:val="00F51AC0"/>
    <w:rsid w:val="00F53FBD"/>
    <w:rsid w:val="00F55D1A"/>
    <w:rsid w:val="00F632A9"/>
    <w:rsid w:val="00F74BCD"/>
    <w:rsid w:val="00F85A94"/>
    <w:rsid w:val="00F92BE8"/>
    <w:rsid w:val="00FA34A1"/>
    <w:rsid w:val="00FA48FE"/>
    <w:rsid w:val="00FB4D60"/>
    <w:rsid w:val="00FC0168"/>
    <w:rsid w:val="00FD0E87"/>
    <w:rsid w:val="00FD56BB"/>
    <w:rsid w:val="00FF0CC3"/>
    <w:rsid w:val="00FF227E"/>
    <w:rsid w:val="1A837540"/>
    <w:rsid w:val="3C1659BF"/>
    <w:rsid w:val="5F773E34"/>
    <w:rsid w:val="624C4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qFormat="1" w:unhideWhenUsed="0" w:uiPriority="0" w:name="index 3"/>
    <w:lsdException w:qFormat="1" w:unhideWhenUsed="0" w:uiPriority="0" w:name="index 4"/>
    <w:lsdException w:unhideWhenUsed="0" w:uiPriority="0" w:name="index 5"/>
    <w:lsdException w:qFormat="1" w:unhideWhenUsed="0" w:uiPriority="0" w:name="index 6"/>
    <w:lsdException w:unhideWhenUsed="0" w:uiPriority="0" w:name="index 7"/>
    <w:lsdException w:qFormat="1"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qFormat="1" w:unhideWhenUsed="0" w:uiPriority="0" w:name="toc 3"/>
    <w:lsdException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qFormat="1" w:unhideWhenUsed="0" w:uiPriority="0" w:semiHidden="0" w:name="Normal Indent"/>
    <w:lsdException w:unhideWhenUsed="0" w:uiPriority="0" w:name="footnote text"/>
    <w:lsdException w:qFormat="1" w:unhideWhenUsed="0" w:uiPriority="0" w:name="annotation text"/>
    <w:lsdException w:uiPriority="99" w:semiHidden="0" w:name="header"/>
    <w:lsdException w:qFormat="1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3"/>
    <w:qFormat/>
    <w:uiPriority w:val="0"/>
    <w:pPr>
      <w:keepNext/>
      <w:jc w:val="left"/>
      <w:outlineLvl w:val="0"/>
    </w:pPr>
    <w:rPr>
      <w:rFonts w:ascii="Arial" w:hAnsi="Arial" w:eastAsia="宋体" w:cs="Arial"/>
      <w:b/>
      <w:bCs/>
      <w:iCs/>
      <w:color w:val="0000FF"/>
      <w:sz w:val="36"/>
      <w:szCs w:val="24"/>
    </w:rPr>
  </w:style>
  <w:style w:type="paragraph" w:styleId="3">
    <w:name w:val="heading 2"/>
    <w:basedOn w:val="1"/>
    <w:next w:val="1"/>
    <w:link w:val="144"/>
    <w:qFormat/>
    <w:uiPriority w:val="0"/>
    <w:pPr>
      <w:keepNext/>
      <w:autoSpaceDE w:val="0"/>
      <w:autoSpaceDN w:val="0"/>
      <w:adjustRightInd w:val="0"/>
      <w:jc w:val="left"/>
      <w:outlineLvl w:val="1"/>
    </w:pPr>
    <w:rPr>
      <w:rFonts w:ascii="Times New Roman" w:hAnsi="Times New Roman" w:eastAsia="宋体" w:cs="Times New Roman"/>
      <w:b/>
      <w:bCs/>
      <w:kern w:val="0"/>
      <w:sz w:val="28"/>
      <w:szCs w:val="21"/>
    </w:rPr>
  </w:style>
  <w:style w:type="paragraph" w:styleId="4">
    <w:name w:val="heading 3"/>
    <w:basedOn w:val="1"/>
    <w:next w:val="1"/>
    <w:link w:val="145"/>
    <w:qFormat/>
    <w:uiPriority w:val="0"/>
    <w:pPr>
      <w:keepNext/>
      <w:outlineLvl w:val="2"/>
    </w:pPr>
    <w:rPr>
      <w:rFonts w:ascii="Times New Roman" w:hAnsi="Times New Roman" w:eastAsia="宋体" w:cs="Times New Roman"/>
      <w:b/>
      <w:sz w:val="28"/>
      <w:szCs w:val="24"/>
    </w:rPr>
  </w:style>
  <w:style w:type="paragraph" w:styleId="5">
    <w:name w:val="heading 4"/>
    <w:basedOn w:val="1"/>
    <w:next w:val="1"/>
    <w:link w:val="146"/>
    <w:qFormat/>
    <w:uiPriority w:val="0"/>
    <w:pPr>
      <w:keepNext/>
      <w:autoSpaceDE w:val="0"/>
      <w:autoSpaceDN w:val="0"/>
      <w:adjustRightInd w:val="0"/>
      <w:jc w:val="left"/>
      <w:outlineLvl w:val="3"/>
    </w:pPr>
    <w:rPr>
      <w:rFonts w:ascii="Times New Roman" w:hAnsi="Times New Roman" w:eastAsia="宋体,Bold" w:cs="Times New Roman"/>
      <w:b/>
      <w:bCs/>
      <w:kern w:val="0"/>
      <w:sz w:val="24"/>
      <w:szCs w:val="18"/>
    </w:rPr>
  </w:style>
  <w:style w:type="paragraph" w:styleId="6">
    <w:name w:val="heading 5"/>
    <w:basedOn w:val="1"/>
    <w:next w:val="1"/>
    <w:link w:val="147"/>
    <w:qFormat/>
    <w:uiPriority w:val="0"/>
    <w:pPr>
      <w:keepNext/>
      <w:outlineLvl w:val="4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styleId="7">
    <w:name w:val="heading 6"/>
    <w:basedOn w:val="1"/>
    <w:next w:val="1"/>
    <w:link w:val="148"/>
    <w:qFormat/>
    <w:uiPriority w:val="0"/>
    <w:pPr>
      <w:keepNext/>
      <w:outlineLvl w:val="5"/>
    </w:pPr>
    <w:rPr>
      <w:rFonts w:ascii="Times New Roman" w:hAnsi="Times New Roman" w:eastAsia="宋体" w:cs="Times New Roman"/>
      <w:b/>
      <w:bCs/>
      <w:szCs w:val="24"/>
    </w:rPr>
  </w:style>
  <w:style w:type="paragraph" w:styleId="8">
    <w:name w:val="heading 7"/>
    <w:basedOn w:val="1"/>
    <w:next w:val="1"/>
    <w:link w:val="149"/>
    <w:qFormat/>
    <w:uiPriority w:val="0"/>
    <w:pPr>
      <w:keepNext/>
      <w:outlineLvl w:val="6"/>
    </w:pPr>
    <w:rPr>
      <w:rFonts w:ascii="Times New Roman" w:hAnsi="Times New Roman" w:eastAsia="宋体" w:cs="Times New Roman"/>
      <w:b/>
      <w:bCs/>
      <w:sz w:val="30"/>
      <w:szCs w:val="24"/>
    </w:rPr>
  </w:style>
  <w:style w:type="paragraph" w:styleId="9">
    <w:name w:val="heading 8"/>
    <w:basedOn w:val="1"/>
    <w:next w:val="1"/>
    <w:link w:val="150"/>
    <w:qFormat/>
    <w:uiPriority w:val="0"/>
    <w:pPr>
      <w:keepNext/>
      <w:wordWrap w:val="0"/>
      <w:spacing w:line="0" w:lineRule="atLeast"/>
      <w:ind w:left="210"/>
      <w:jc w:val="right"/>
      <w:outlineLvl w:val="7"/>
    </w:pPr>
    <w:rPr>
      <w:rFonts w:ascii="Times New Roman" w:hAnsi="Times New Roman" w:eastAsia="宋体" w:cs="Times New Roman"/>
      <w:b/>
      <w:bCs/>
      <w:szCs w:val="24"/>
    </w:rPr>
  </w:style>
  <w:style w:type="paragraph" w:styleId="10">
    <w:name w:val="heading 9"/>
    <w:basedOn w:val="1"/>
    <w:next w:val="1"/>
    <w:link w:val="151"/>
    <w:qFormat/>
    <w:uiPriority w:val="0"/>
    <w:pPr>
      <w:keepNext/>
      <w:spacing w:line="0" w:lineRule="atLeast"/>
      <w:outlineLvl w:val="8"/>
    </w:pPr>
    <w:rPr>
      <w:rFonts w:ascii="Times New Roman" w:hAnsi="Times New Roman" w:eastAsia="宋体" w:cs="Times New Roman"/>
      <w:b/>
      <w:bCs/>
      <w:szCs w:val="24"/>
    </w:rPr>
  </w:style>
  <w:style w:type="character" w:default="1" w:styleId="87">
    <w:name w:val="Default Paragraph Font"/>
    <w:unhideWhenUsed/>
    <w:qFormat/>
    <w:uiPriority w:val="1"/>
  </w:style>
  <w:style w:type="table" w:default="1" w:styleId="9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 w:eastAsia="宋体" w:cs="Times New Roman"/>
      <w:szCs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  <w:rPr>
      <w:rFonts w:ascii="Times New Roman" w:hAnsi="Times New Roman" w:eastAsia="宋体" w:cs="Times New Roman"/>
      <w:szCs w:val="24"/>
    </w:rPr>
  </w:style>
  <w:style w:type="paragraph" w:styleId="13">
    <w:name w:val="Body Text First Indent"/>
    <w:basedOn w:val="14"/>
    <w:link w:val="170"/>
    <w:qFormat/>
    <w:uiPriority w:val="0"/>
    <w:pPr>
      <w:snapToGrid/>
      <w:spacing w:after="120"/>
      <w:ind w:firstLine="420" w:firstLineChars="100"/>
    </w:pPr>
    <w:rPr>
      <w:sz w:val="21"/>
      <w:szCs w:val="24"/>
    </w:rPr>
  </w:style>
  <w:style w:type="paragraph" w:styleId="14">
    <w:name w:val="Body Text"/>
    <w:basedOn w:val="1"/>
    <w:link w:val="153"/>
    <w:qFormat/>
    <w:uiPriority w:val="0"/>
    <w:pPr>
      <w:snapToGrid w:val="0"/>
    </w:pPr>
    <w:rPr>
      <w:rFonts w:ascii="Times New Roman" w:hAnsi="Times New Roman" w:eastAsia="宋体" w:cs="Times New Roman"/>
      <w:sz w:val="24"/>
      <w:szCs w:val="20"/>
    </w:rPr>
  </w:style>
  <w:style w:type="paragraph" w:styleId="15">
    <w:name w:val="List Number 2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  <w:szCs w:val="24"/>
    </w:rPr>
  </w:style>
  <w:style w:type="paragraph" w:styleId="16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7">
    <w:name w:val="macro"/>
    <w:link w:val="160"/>
    <w:semiHidden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8">
    <w:name w:val="Note Heading"/>
    <w:basedOn w:val="1"/>
    <w:next w:val="1"/>
    <w:link w:val="176"/>
    <w:qFormat/>
    <w:uiPriority w:val="0"/>
    <w:pPr>
      <w:jc w:val="center"/>
    </w:pPr>
    <w:rPr>
      <w:rFonts w:ascii="Times New Roman" w:hAnsi="Times New Roman" w:eastAsia="宋体" w:cs="Times New Roman"/>
      <w:szCs w:val="24"/>
    </w:rPr>
  </w:style>
  <w:style w:type="paragraph" w:styleId="19">
    <w:name w:val="List Bullet 4"/>
    <w:basedOn w:val="1"/>
    <w:qFormat/>
    <w:uiPriority w:val="0"/>
    <w:pPr>
      <w:numPr>
        <w:ilvl w:val="0"/>
        <w:numId w:val="2"/>
      </w:numPr>
    </w:pPr>
    <w:rPr>
      <w:rFonts w:ascii="Times New Roman" w:hAnsi="Times New Roman" w:eastAsia="宋体" w:cs="Times New Roman"/>
      <w:szCs w:val="24"/>
    </w:rPr>
  </w:style>
  <w:style w:type="paragraph" w:styleId="20">
    <w:name w:val="index 8"/>
    <w:basedOn w:val="1"/>
    <w:next w:val="1"/>
    <w:semiHidden/>
    <w:qFormat/>
    <w:uiPriority w:val="0"/>
    <w:pPr>
      <w:ind w:left="1400" w:leftChars="1400"/>
    </w:pPr>
    <w:rPr>
      <w:rFonts w:ascii="Times New Roman" w:hAnsi="Times New Roman" w:eastAsia="宋体" w:cs="Times New Roman"/>
      <w:szCs w:val="24"/>
    </w:rPr>
  </w:style>
  <w:style w:type="paragraph" w:styleId="21">
    <w:name w:val="E-mail Signature"/>
    <w:basedOn w:val="1"/>
    <w:link w:val="159"/>
    <w:qFormat/>
    <w:uiPriority w:val="0"/>
    <w:rPr>
      <w:rFonts w:ascii="Times New Roman" w:hAnsi="Times New Roman" w:eastAsia="宋体" w:cs="Times New Roman"/>
      <w:szCs w:val="24"/>
    </w:rPr>
  </w:style>
  <w:style w:type="paragraph" w:styleId="22">
    <w:name w:val="List Number"/>
    <w:basedOn w:val="1"/>
    <w:qFormat/>
    <w:uiPriority w:val="0"/>
    <w:pPr>
      <w:numPr>
        <w:ilvl w:val="0"/>
        <w:numId w:val="3"/>
      </w:numPr>
    </w:pPr>
    <w:rPr>
      <w:rFonts w:ascii="Times New Roman" w:hAnsi="Times New Roman" w:eastAsia="宋体" w:cs="Times New Roman"/>
      <w:szCs w:val="24"/>
    </w:rPr>
  </w:style>
  <w:style w:type="paragraph" w:styleId="2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4">
    <w:name w:val="caption"/>
    <w:basedOn w:val="1"/>
    <w:next w:val="1"/>
    <w:qFormat/>
    <w:uiPriority w:val="0"/>
    <w:rPr>
      <w:rFonts w:ascii="Times New Roman" w:hAnsi="Times New Roman" w:eastAsia="宋体" w:cs="Times New Roman"/>
      <w:b/>
      <w:sz w:val="30"/>
      <w:szCs w:val="24"/>
    </w:rPr>
  </w:style>
  <w:style w:type="paragraph" w:styleId="25">
    <w:name w:val="index 5"/>
    <w:basedOn w:val="1"/>
    <w:next w:val="1"/>
    <w:semiHidden/>
    <w:uiPriority w:val="0"/>
    <w:pPr>
      <w:ind w:left="800" w:leftChars="800"/>
    </w:pPr>
    <w:rPr>
      <w:rFonts w:ascii="Times New Roman" w:hAnsi="Times New Roman" w:eastAsia="宋体" w:cs="Times New Roman"/>
      <w:szCs w:val="24"/>
    </w:rPr>
  </w:style>
  <w:style w:type="paragraph" w:styleId="26">
    <w:name w:val="List Bullet"/>
    <w:basedOn w:val="1"/>
    <w:qFormat/>
    <w:uiPriority w:val="0"/>
    <w:pPr>
      <w:numPr>
        <w:ilvl w:val="0"/>
        <w:numId w:val="4"/>
      </w:numPr>
    </w:pPr>
    <w:rPr>
      <w:rFonts w:ascii="Times New Roman" w:hAnsi="Times New Roman" w:eastAsia="宋体" w:cs="Times New Roman"/>
      <w:szCs w:val="24"/>
    </w:rPr>
  </w:style>
  <w:style w:type="paragraph" w:styleId="27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eastAsia="宋体" w:cs="Arial"/>
      <w:sz w:val="24"/>
      <w:szCs w:val="24"/>
    </w:rPr>
  </w:style>
  <w:style w:type="paragraph" w:styleId="28">
    <w:name w:val="Document Map"/>
    <w:basedOn w:val="1"/>
    <w:link w:val="152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2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Arial"/>
      <w:sz w:val="24"/>
      <w:szCs w:val="24"/>
    </w:rPr>
  </w:style>
  <w:style w:type="paragraph" w:styleId="30">
    <w:name w:val="annotation text"/>
    <w:basedOn w:val="1"/>
    <w:link w:val="163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1">
    <w:name w:val="index 6"/>
    <w:basedOn w:val="1"/>
    <w:next w:val="1"/>
    <w:semiHidden/>
    <w:qFormat/>
    <w:uiPriority w:val="0"/>
    <w:pPr>
      <w:ind w:left="1000" w:leftChars="1000"/>
    </w:pPr>
    <w:rPr>
      <w:rFonts w:ascii="Times New Roman" w:hAnsi="Times New Roman" w:eastAsia="宋体" w:cs="Times New Roman"/>
      <w:szCs w:val="24"/>
    </w:rPr>
  </w:style>
  <w:style w:type="paragraph" w:styleId="32">
    <w:name w:val="Salutation"/>
    <w:basedOn w:val="1"/>
    <w:next w:val="1"/>
    <w:link w:val="158"/>
    <w:qFormat/>
    <w:uiPriority w:val="0"/>
    <w:rPr>
      <w:rFonts w:ascii="Times New Roman" w:hAnsi="Times New Roman" w:eastAsia="宋体" w:cs="Times New Roman"/>
      <w:szCs w:val="24"/>
    </w:rPr>
  </w:style>
  <w:style w:type="paragraph" w:styleId="33">
    <w:name w:val="Body Text 3"/>
    <w:basedOn w:val="1"/>
    <w:link w:val="173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4">
    <w:name w:val="Closing"/>
    <w:basedOn w:val="1"/>
    <w:link w:val="162"/>
    <w:qFormat/>
    <w:uiPriority w:val="0"/>
    <w:pPr>
      <w:ind w:left="100" w:leftChars="2100"/>
    </w:pPr>
    <w:rPr>
      <w:rFonts w:ascii="Times New Roman" w:hAnsi="Times New Roman" w:eastAsia="宋体" w:cs="Times New Roman"/>
      <w:szCs w:val="24"/>
    </w:rPr>
  </w:style>
  <w:style w:type="paragraph" w:styleId="35">
    <w:name w:val="List Bullet 3"/>
    <w:basedOn w:val="1"/>
    <w:qFormat/>
    <w:uiPriority w:val="0"/>
    <w:pPr>
      <w:numPr>
        <w:ilvl w:val="0"/>
        <w:numId w:val="5"/>
      </w:numPr>
    </w:pPr>
    <w:rPr>
      <w:rFonts w:ascii="Times New Roman" w:hAnsi="Times New Roman" w:eastAsia="宋体" w:cs="Times New Roman"/>
      <w:szCs w:val="24"/>
    </w:rPr>
  </w:style>
  <w:style w:type="paragraph" w:styleId="36">
    <w:name w:val="Body Text Indent"/>
    <w:basedOn w:val="1"/>
    <w:link w:val="154"/>
    <w:qFormat/>
    <w:uiPriority w:val="0"/>
    <w:pPr>
      <w:snapToGrid w:val="0"/>
      <w:spacing w:line="160" w:lineRule="atLeast"/>
      <w:ind w:firstLine="465"/>
    </w:pPr>
    <w:rPr>
      <w:rFonts w:ascii="Times New Roman" w:hAnsi="Times New Roman" w:eastAsia="宋体" w:cs="Times New Roman"/>
      <w:sz w:val="24"/>
      <w:szCs w:val="24"/>
    </w:rPr>
  </w:style>
  <w:style w:type="paragraph" w:styleId="37">
    <w:name w:val="List Number 3"/>
    <w:basedOn w:val="1"/>
    <w:qFormat/>
    <w:uiPriority w:val="0"/>
    <w:pPr>
      <w:numPr>
        <w:ilvl w:val="0"/>
        <w:numId w:val="6"/>
      </w:numPr>
    </w:pPr>
    <w:rPr>
      <w:rFonts w:ascii="Times New Roman" w:hAnsi="Times New Roman" w:eastAsia="宋体" w:cs="Times New Roman"/>
      <w:szCs w:val="24"/>
    </w:rPr>
  </w:style>
  <w:style w:type="paragraph" w:styleId="38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  <w:style w:type="paragraph" w:styleId="39">
    <w:name w:val="List Continue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0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4"/>
    </w:rPr>
  </w:style>
  <w:style w:type="paragraph" w:styleId="41">
    <w:name w:val="List Bullet 2"/>
    <w:basedOn w:val="1"/>
    <w:qFormat/>
    <w:uiPriority w:val="0"/>
    <w:pPr>
      <w:numPr>
        <w:ilvl w:val="0"/>
        <w:numId w:val="7"/>
      </w:numPr>
    </w:pPr>
    <w:rPr>
      <w:rFonts w:ascii="Times New Roman" w:hAnsi="Times New Roman" w:eastAsia="宋体" w:cs="Times New Roman"/>
      <w:szCs w:val="24"/>
    </w:rPr>
  </w:style>
  <w:style w:type="paragraph" w:styleId="42">
    <w:name w:val="HTML Address"/>
    <w:basedOn w:val="1"/>
    <w:link w:val="155"/>
    <w:qFormat/>
    <w:uiPriority w:val="0"/>
    <w:rPr>
      <w:rFonts w:ascii="Times New Roman" w:hAnsi="Times New Roman" w:eastAsia="宋体" w:cs="Times New Roman"/>
      <w:i/>
      <w:iCs/>
      <w:szCs w:val="24"/>
    </w:rPr>
  </w:style>
  <w:style w:type="paragraph" w:styleId="43">
    <w:name w:val="index 4"/>
    <w:basedOn w:val="1"/>
    <w:next w:val="1"/>
    <w:semiHidden/>
    <w:qFormat/>
    <w:uiPriority w:val="0"/>
    <w:pPr>
      <w:ind w:left="600" w:leftChars="600"/>
    </w:pPr>
    <w:rPr>
      <w:rFonts w:ascii="Times New Roman" w:hAnsi="Times New Roman" w:eastAsia="宋体" w:cs="Times New Roman"/>
      <w:szCs w:val="24"/>
    </w:rPr>
  </w:style>
  <w:style w:type="paragraph" w:styleId="44">
    <w:name w:val="toc 5"/>
    <w:basedOn w:val="1"/>
    <w:next w:val="1"/>
    <w:semiHidden/>
    <w:qFormat/>
    <w:uiPriority w:val="0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45">
    <w:name w:val="toc 3"/>
    <w:basedOn w:val="1"/>
    <w:next w:val="1"/>
    <w:semiHidden/>
    <w:qFormat/>
    <w:uiPriority w:val="0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46">
    <w:name w:val="Plain Text"/>
    <w:basedOn w:val="1"/>
    <w:link w:val="164"/>
    <w:qFormat/>
    <w:uiPriority w:val="0"/>
    <w:rPr>
      <w:rFonts w:ascii="宋体" w:hAnsi="Courier New" w:eastAsia="宋体" w:cs="Courier New"/>
      <w:szCs w:val="21"/>
    </w:rPr>
  </w:style>
  <w:style w:type="paragraph" w:styleId="47">
    <w:name w:val="List Bullet 5"/>
    <w:basedOn w:val="1"/>
    <w:qFormat/>
    <w:uiPriority w:val="0"/>
    <w:pPr>
      <w:numPr>
        <w:ilvl w:val="0"/>
        <w:numId w:val="8"/>
      </w:numPr>
    </w:pPr>
    <w:rPr>
      <w:rFonts w:ascii="Times New Roman" w:hAnsi="Times New Roman" w:eastAsia="宋体" w:cs="Times New Roman"/>
      <w:szCs w:val="24"/>
    </w:rPr>
  </w:style>
  <w:style w:type="paragraph" w:styleId="48">
    <w:name w:val="List Number 4"/>
    <w:basedOn w:val="1"/>
    <w:qFormat/>
    <w:uiPriority w:val="0"/>
    <w:pPr>
      <w:numPr>
        <w:ilvl w:val="0"/>
        <w:numId w:val="9"/>
      </w:numPr>
    </w:pPr>
    <w:rPr>
      <w:rFonts w:ascii="Times New Roman" w:hAnsi="Times New Roman" w:eastAsia="宋体" w:cs="Times New Roman"/>
      <w:szCs w:val="24"/>
    </w:rPr>
  </w:style>
  <w:style w:type="paragraph" w:styleId="49">
    <w:name w:val="toc 8"/>
    <w:basedOn w:val="1"/>
    <w:next w:val="1"/>
    <w:semiHidden/>
    <w:qFormat/>
    <w:uiPriority w:val="0"/>
    <w:pPr>
      <w:ind w:left="2940" w:leftChars="1400"/>
    </w:pPr>
    <w:rPr>
      <w:rFonts w:ascii="Times New Roman" w:hAnsi="Times New Roman" w:eastAsia="宋体" w:cs="Times New Roman"/>
      <w:szCs w:val="24"/>
    </w:rPr>
  </w:style>
  <w:style w:type="paragraph" w:styleId="50">
    <w:name w:val="index 3"/>
    <w:basedOn w:val="1"/>
    <w:next w:val="1"/>
    <w:semiHidden/>
    <w:qFormat/>
    <w:uiPriority w:val="0"/>
    <w:pPr>
      <w:ind w:left="400" w:leftChars="400"/>
    </w:pPr>
    <w:rPr>
      <w:rFonts w:ascii="Times New Roman" w:hAnsi="Times New Roman" w:eastAsia="宋体" w:cs="Times New Roman"/>
      <w:szCs w:val="24"/>
    </w:rPr>
  </w:style>
  <w:style w:type="paragraph" w:styleId="51">
    <w:name w:val="Date"/>
    <w:basedOn w:val="1"/>
    <w:next w:val="1"/>
    <w:link w:val="166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2">
    <w:name w:val="Body Text Indent 2"/>
    <w:basedOn w:val="1"/>
    <w:link w:val="174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3">
    <w:name w:val="endnote text"/>
    <w:basedOn w:val="1"/>
    <w:link w:val="168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54">
    <w:name w:val="List Continue 5"/>
    <w:basedOn w:val="1"/>
    <w:qFormat/>
    <w:uiPriority w:val="0"/>
    <w:pPr>
      <w:spacing w:after="120"/>
      <w:ind w:left="2100" w:leftChars="1000"/>
    </w:pPr>
    <w:rPr>
      <w:rFonts w:ascii="Times New Roman" w:hAnsi="Times New Roman" w:eastAsia="宋体" w:cs="Times New Roman"/>
      <w:szCs w:val="24"/>
    </w:rPr>
  </w:style>
  <w:style w:type="paragraph" w:styleId="55">
    <w:name w:val="Balloon Text"/>
    <w:basedOn w:val="1"/>
    <w:link w:val="140"/>
    <w:unhideWhenUsed/>
    <w:qFormat/>
    <w:uiPriority w:val="99"/>
    <w:rPr>
      <w:sz w:val="18"/>
      <w:szCs w:val="18"/>
    </w:rPr>
  </w:style>
  <w:style w:type="paragraph" w:styleId="56">
    <w:name w:val="footer"/>
    <w:basedOn w:val="1"/>
    <w:link w:val="14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7">
    <w:name w:val="envelope return"/>
    <w:basedOn w:val="1"/>
    <w:qFormat/>
    <w:uiPriority w:val="0"/>
    <w:pPr>
      <w:snapToGrid w:val="0"/>
    </w:pPr>
    <w:rPr>
      <w:rFonts w:ascii="Arial" w:hAnsi="Arial" w:eastAsia="宋体" w:cs="Arial"/>
      <w:szCs w:val="24"/>
    </w:rPr>
  </w:style>
  <w:style w:type="paragraph" w:styleId="58">
    <w:name w:val="Body Text First Indent 2"/>
    <w:basedOn w:val="36"/>
    <w:link w:val="171"/>
    <w:qFormat/>
    <w:uiPriority w:val="0"/>
    <w:pPr>
      <w:snapToGrid/>
      <w:spacing w:after="120" w:line="240" w:lineRule="auto"/>
      <w:ind w:left="420" w:leftChars="200" w:firstLine="210" w:firstLineChars="200"/>
    </w:pPr>
    <w:rPr>
      <w:sz w:val="21"/>
    </w:rPr>
  </w:style>
  <w:style w:type="paragraph" w:styleId="59">
    <w:name w:val="header"/>
    <w:basedOn w:val="1"/>
    <w:link w:val="14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0">
    <w:name w:val="Signature"/>
    <w:basedOn w:val="1"/>
    <w:link w:val="165"/>
    <w:qFormat/>
    <w:uiPriority w:val="0"/>
    <w:pPr>
      <w:ind w:left="100" w:leftChars="2100"/>
    </w:pPr>
    <w:rPr>
      <w:rFonts w:ascii="Times New Roman" w:hAnsi="Times New Roman" w:eastAsia="宋体" w:cs="Times New Roman"/>
      <w:szCs w:val="24"/>
    </w:rPr>
  </w:style>
  <w:style w:type="paragraph" w:styleId="61">
    <w:name w:val="toc 1"/>
    <w:basedOn w:val="1"/>
    <w:next w:val="1"/>
    <w:semiHidden/>
    <w:uiPriority w:val="0"/>
    <w:rPr>
      <w:rFonts w:ascii="Times New Roman" w:hAnsi="Times New Roman" w:eastAsia="宋体" w:cs="Times New Roman"/>
      <w:szCs w:val="24"/>
    </w:rPr>
  </w:style>
  <w:style w:type="paragraph" w:styleId="62">
    <w:name w:val="List Continue 4"/>
    <w:basedOn w:val="1"/>
    <w:qFormat/>
    <w:uiPriority w:val="0"/>
    <w:pPr>
      <w:spacing w:after="120"/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63">
    <w:name w:val="toc 4"/>
    <w:basedOn w:val="1"/>
    <w:next w:val="1"/>
    <w:semiHidden/>
    <w:uiPriority w:val="0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64">
    <w:name w:val="index heading"/>
    <w:basedOn w:val="1"/>
    <w:next w:val="65"/>
    <w:semiHidden/>
    <w:qFormat/>
    <w:uiPriority w:val="0"/>
    <w:rPr>
      <w:rFonts w:ascii="Arial" w:hAnsi="Arial" w:eastAsia="宋体" w:cs="Arial"/>
      <w:b/>
      <w:bCs/>
      <w:szCs w:val="24"/>
    </w:rPr>
  </w:style>
  <w:style w:type="paragraph" w:styleId="65">
    <w:name w:val="index 1"/>
    <w:basedOn w:val="1"/>
    <w:next w:val="1"/>
    <w:semiHidden/>
    <w:uiPriority w:val="0"/>
    <w:rPr>
      <w:rFonts w:ascii="Times New Roman" w:hAnsi="Times New Roman" w:eastAsia="宋体" w:cs="Times New Roman"/>
      <w:szCs w:val="24"/>
    </w:rPr>
  </w:style>
  <w:style w:type="paragraph" w:styleId="66">
    <w:name w:val="Subtitle"/>
    <w:basedOn w:val="1"/>
    <w:link w:val="167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67">
    <w:name w:val="List Number 5"/>
    <w:basedOn w:val="1"/>
    <w:uiPriority w:val="0"/>
    <w:pPr>
      <w:numPr>
        <w:ilvl w:val="0"/>
        <w:numId w:val="10"/>
      </w:numPr>
    </w:pPr>
    <w:rPr>
      <w:rFonts w:ascii="Times New Roman" w:hAnsi="Times New Roman" w:eastAsia="宋体" w:cs="Times New Roman"/>
      <w:szCs w:val="24"/>
    </w:rPr>
  </w:style>
  <w:style w:type="paragraph" w:styleId="68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4"/>
    </w:rPr>
  </w:style>
  <w:style w:type="paragraph" w:styleId="69">
    <w:name w:val="footnote text"/>
    <w:basedOn w:val="1"/>
    <w:link w:val="161"/>
    <w:semiHidden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0">
    <w:name w:val="toc 6"/>
    <w:basedOn w:val="1"/>
    <w:next w:val="1"/>
    <w:semiHidden/>
    <w:qFormat/>
    <w:uiPriority w:val="0"/>
    <w:pPr>
      <w:ind w:left="2100" w:leftChars="1000"/>
    </w:pPr>
    <w:rPr>
      <w:rFonts w:ascii="Times New Roman" w:hAnsi="Times New Roman" w:eastAsia="宋体" w:cs="Times New Roman"/>
      <w:szCs w:val="24"/>
    </w:rPr>
  </w:style>
  <w:style w:type="paragraph" w:styleId="71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 w:eastAsia="宋体" w:cs="Times New Roman"/>
      <w:szCs w:val="24"/>
    </w:rPr>
  </w:style>
  <w:style w:type="paragraph" w:styleId="72">
    <w:name w:val="Body Text Indent 3"/>
    <w:basedOn w:val="1"/>
    <w:link w:val="17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73">
    <w:name w:val="index 7"/>
    <w:basedOn w:val="1"/>
    <w:next w:val="1"/>
    <w:semiHidden/>
    <w:uiPriority w:val="0"/>
    <w:pPr>
      <w:ind w:left="1200" w:leftChars="1200"/>
    </w:pPr>
    <w:rPr>
      <w:rFonts w:ascii="Times New Roman" w:hAnsi="Times New Roman" w:eastAsia="宋体" w:cs="Times New Roman"/>
      <w:szCs w:val="24"/>
    </w:rPr>
  </w:style>
  <w:style w:type="paragraph" w:styleId="74">
    <w:name w:val="index 9"/>
    <w:basedOn w:val="1"/>
    <w:next w:val="1"/>
    <w:semiHidden/>
    <w:uiPriority w:val="0"/>
    <w:pPr>
      <w:ind w:left="1600" w:leftChars="1600"/>
    </w:pPr>
    <w:rPr>
      <w:rFonts w:ascii="Times New Roman" w:hAnsi="Times New Roman" w:eastAsia="宋体" w:cs="Times New Roman"/>
      <w:szCs w:val="24"/>
    </w:rPr>
  </w:style>
  <w:style w:type="paragraph" w:styleId="75">
    <w:name w:val="table of figures"/>
    <w:basedOn w:val="1"/>
    <w:next w:val="1"/>
    <w:semiHidden/>
    <w:qFormat/>
    <w:uiPriority w:val="0"/>
    <w:pPr>
      <w:ind w:left="840" w:leftChars="200" w:hanging="420" w:hangingChars="200"/>
    </w:pPr>
    <w:rPr>
      <w:rFonts w:ascii="Times New Roman" w:hAnsi="Times New Roman" w:eastAsia="宋体" w:cs="Times New Roman"/>
      <w:szCs w:val="24"/>
    </w:rPr>
  </w:style>
  <w:style w:type="paragraph" w:styleId="76">
    <w:name w:val="toc 2"/>
    <w:basedOn w:val="1"/>
    <w:next w:val="1"/>
    <w:semiHidden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77">
    <w:name w:val="toc 9"/>
    <w:basedOn w:val="1"/>
    <w:next w:val="1"/>
    <w:semiHidden/>
    <w:uiPriority w:val="0"/>
    <w:pPr>
      <w:ind w:left="3360" w:leftChars="1600"/>
    </w:pPr>
    <w:rPr>
      <w:rFonts w:ascii="Times New Roman" w:hAnsi="Times New Roman" w:eastAsia="宋体" w:cs="Times New Roman"/>
      <w:szCs w:val="24"/>
    </w:rPr>
  </w:style>
  <w:style w:type="paragraph" w:styleId="78">
    <w:name w:val="Body Text 2"/>
    <w:basedOn w:val="1"/>
    <w:link w:val="172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79">
    <w:name w:val="List 4"/>
    <w:basedOn w:val="1"/>
    <w:qFormat/>
    <w:uiPriority w:val="0"/>
    <w:pPr>
      <w:ind w:left="100" w:leftChars="600" w:hanging="200" w:hangingChars="200"/>
    </w:pPr>
    <w:rPr>
      <w:rFonts w:ascii="Times New Roman" w:hAnsi="Times New Roman" w:eastAsia="宋体" w:cs="Times New Roman"/>
      <w:szCs w:val="24"/>
    </w:rPr>
  </w:style>
  <w:style w:type="paragraph" w:styleId="80">
    <w:name w:val="List Continue 2"/>
    <w:basedOn w:val="1"/>
    <w:uiPriority w:val="0"/>
    <w:pPr>
      <w:spacing w:after="120"/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81">
    <w:name w:val="Message Header"/>
    <w:basedOn w:val="1"/>
    <w:link w:val="169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Arial"/>
      <w:sz w:val="24"/>
      <w:szCs w:val="24"/>
    </w:rPr>
  </w:style>
  <w:style w:type="paragraph" w:styleId="82">
    <w:name w:val="HTML Preformatted"/>
    <w:basedOn w:val="1"/>
    <w:link w:val="156"/>
    <w:qFormat/>
    <w:uiPriority w:val="0"/>
    <w:rPr>
      <w:rFonts w:ascii="Courier New" w:hAnsi="Courier New" w:eastAsia="宋体" w:cs="Courier New"/>
      <w:sz w:val="20"/>
      <w:szCs w:val="20"/>
    </w:rPr>
  </w:style>
  <w:style w:type="paragraph" w:styleId="83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84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85">
    <w:name w:val="index 2"/>
    <w:basedOn w:val="1"/>
    <w:next w:val="1"/>
    <w:semiHidden/>
    <w:uiPriority w:val="0"/>
    <w:pPr>
      <w:ind w:left="200" w:leftChars="200"/>
    </w:pPr>
    <w:rPr>
      <w:rFonts w:ascii="Times New Roman" w:hAnsi="Times New Roman" w:eastAsia="宋体" w:cs="Times New Roman"/>
      <w:szCs w:val="24"/>
    </w:rPr>
  </w:style>
  <w:style w:type="paragraph" w:styleId="86">
    <w:name w:val="Title"/>
    <w:basedOn w:val="1"/>
    <w:link w:val="157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character" w:styleId="88">
    <w:name w:val="page number"/>
    <w:basedOn w:val="87"/>
    <w:uiPriority w:val="0"/>
  </w:style>
  <w:style w:type="character" w:styleId="89">
    <w:name w:val="FollowedHyperlink"/>
    <w:basedOn w:val="87"/>
    <w:qFormat/>
    <w:uiPriority w:val="0"/>
    <w:rPr>
      <w:color w:val="800080"/>
      <w:u w:val="single"/>
    </w:rPr>
  </w:style>
  <w:style w:type="character" w:styleId="90">
    <w:name w:val="Hyperlink"/>
    <w:basedOn w:val="87"/>
    <w:qFormat/>
    <w:uiPriority w:val="0"/>
    <w:rPr>
      <w:color w:val="0000FF"/>
      <w:u w:val="single"/>
    </w:rPr>
  </w:style>
  <w:style w:type="table" w:styleId="92">
    <w:name w:val="Table Grid"/>
    <w:basedOn w:val="9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No Spacing"/>
    <w:link w:val="139"/>
    <w:qFormat/>
    <w:uiPriority w:val="1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customStyle="1" w:styleId="94">
    <w:name w:val="68BAF9E1919946E38FBF9403D0201D18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customStyle="1" w:styleId="95">
    <w:name w:val="List Paragraph"/>
    <w:basedOn w:val="1"/>
    <w:qFormat/>
    <w:uiPriority w:val="34"/>
    <w:pPr>
      <w:ind w:firstLine="420" w:firstLineChars="200"/>
    </w:pPr>
  </w:style>
  <w:style w:type="paragraph" w:customStyle="1" w:styleId="9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9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paragraph" w:customStyle="1" w:styleId="9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0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10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0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0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04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eastAsia="宋体" w:cs="Times New Roman"/>
      <w:kern w:val="0"/>
      <w:sz w:val="18"/>
      <w:szCs w:val="18"/>
      <w:u w:val="single"/>
    </w:rPr>
  </w:style>
  <w:style w:type="paragraph" w:customStyle="1" w:styleId="105">
    <w:name w:val="xl2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06">
    <w:name w:val="xl2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07">
    <w:name w:val="xl2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08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0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1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11">
    <w:name w:val="xl30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2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1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5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6">
    <w:name w:val="xl35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7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1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9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0">
    <w:name w:val="xl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21">
    <w:name w:val="xl4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122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18"/>
      <w:szCs w:val="18"/>
    </w:rPr>
  </w:style>
  <w:style w:type="paragraph" w:customStyle="1" w:styleId="123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4">
    <w:name w:val="xl4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5">
    <w:name w:val="xl4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6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7">
    <w:name w:val="xl4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28">
    <w:name w:val="xl4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18"/>
      <w:szCs w:val="18"/>
    </w:rPr>
  </w:style>
  <w:style w:type="paragraph" w:customStyle="1" w:styleId="129">
    <w:name w:val="xl4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1">
    <w:name w:val="xl50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2">
    <w:name w:val="xl51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3">
    <w:name w:val="xl52"/>
    <w:basedOn w:val="1"/>
    <w:qFormat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4">
    <w:name w:val="xl53"/>
    <w:basedOn w:val="1"/>
    <w:qFormat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5">
    <w:name w:val="xl5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 w:eastAsia="宋体" w:cs="Times New Roman"/>
      <w:kern w:val="0"/>
      <w:sz w:val="18"/>
      <w:szCs w:val="18"/>
    </w:rPr>
  </w:style>
  <w:style w:type="paragraph" w:customStyle="1" w:styleId="1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paragraph" w:customStyle="1" w:styleId="137">
    <w:name w:val="正文 + 小三"/>
    <w:basedOn w:val="1"/>
    <w:qFormat/>
    <w:uiPriority w:val="0"/>
    <w:rPr>
      <w:rFonts w:ascii="Times New Roman" w:hAnsi="Times New Roman" w:eastAsia="宋体" w:cs="Times New Roman"/>
      <w:b/>
      <w:sz w:val="30"/>
      <w:szCs w:val="24"/>
    </w:rPr>
  </w:style>
  <w:style w:type="paragraph" w:customStyle="1" w:styleId="138">
    <w:name w:val="L1-Body Char"/>
    <w:qFormat/>
    <w:uiPriority w:val="0"/>
    <w:pPr>
      <w:widowControl w:val="0"/>
      <w:tabs>
        <w:tab w:val="left" w:pos="1440"/>
      </w:tabs>
      <w:spacing w:before="60" w:after="120" w:line="240" w:lineRule="exact"/>
    </w:pPr>
    <w:rPr>
      <w:rFonts w:ascii="Times" w:hAnsi="Times" w:eastAsia="宋体" w:cs="Times New Roman"/>
      <w:i/>
      <w:color w:val="000000"/>
      <w:kern w:val="0"/>
      <w:sz w:val="20"/>
      <w:szCs w:val="20"/>
      <w:lang w:val="en-US" w:eastAsia="en-US" w:bidi="ar-SA"/>
    </w:rPr>
  </w:style>
  <w:style w:type="character" w:customStyle="1" w:styleId="139">
    <w:name w:val="无间隔 Char"/>
    <w:basedOn w:val="87"/>
    <w:link w:val="93"/>
    <w:qFormat/>
    <w:uiPriority w:val="1"/>
    <w:rPr>
      <w:kern w:val="0"/>
      <w:sz w:val="22"/>
    </w:rPr>
  </w:style>
  <w:style w:type="character" w:customStyle="1" w:styleId="140">
    <w:name w:val="批注框文本 Char"/>
    <w:basedOn w:val="87"/>
    <w:link w:val="55"/>
    <w:semiHidden/>
    <w:qFormat/>
    <w:uiPriority w:val="99"/>
    <w:rPr>
      <w:sz w:val="18"/>
      <w:szCs w:val="18"/>
    </w:rPr>
  </w:style>
  <w:style w:type="character" w:customStyle="1" w:styleId="141">
    <w:name w:val="页眉 Char"/>
    <w:basedOn w:val="87"/>
    <w:link w:val="59"/>
    <w:qFormat/>
    <w:uiPriority w:val="99"/>
    <w:rPr>
      <w:sz w:val="18"/>
      <w:szCs w:val="18"/>
    </w:rPr>
  </w:style>
  <w:style w:type="character" w:customStyle="1" w:styleId="142">
    <w:name w:val="页脚 Char"/>
    <w:basedOn w:val="87"/>
    <w:link w:val="56"/>
    <w:qFormat/>
    <w:uiPriority w:val="99"/>
    <w:rPr>
      <w:sz w:val="18"/>
      <w:szCs w:val="18"/>
    </w:rPr>
  </w:style>
  <w:style w:type="character" w:customStyle="1" w:styleId="143">
    <w:name w:val="标题 1 Char"/>
    <w:basedOn w:val="87"/>
    <w:link w:val="2"/>
    <w:qFormat/>
    <w:uiPriority w:val="0"/>
    <w:rPr>
      <w:rFonts w:ascii="Arial" w:hAnsi="Arial" w:eastAsia="宋体" w:cs="Arial"/>
      <w:b/>
      <w:bCs/>
      <w:iCs/>
      <w:color w:val="0000FF"/>
      <w:sz w:val="36"/>
      <w:szCs w:val="24"/>
    </w:rPr>
  </w:style>
  <w:style w:type="character" w:customStyle="1" w:styleId="144">
    <w:name w:val="标题 2 Char"/>
    <w:basedOn w:val="87"/>
    <w:link w:val="3"/>
    <w:qFormat/>
    <w:uiPriority w:val="0"/>
    <w:rPr>
      <w:rFonts w:ascii="Times New Roman" w:hAnsi="Times New Roman" w:eastAsia="宋体" w:cs="Times New Roman"/>
      <w:b/>
      <w:bCs/>
      <w:kern w:val="0"/>
      <w:sz w:val="28"/>
      <w:szCs w:val="21"/>
    </w:rPr>
  </w:style>
  <w:style w:type="character" w:customStyle="1" w:styleId="145">
    <w:name w:val="标题 3 Char"/>
    <w:basedOn w:val="87"/>
    <w:link w:val="4"/>
    <w:qFormat/>
    <w:uiPriority w:val="0"/>
    <w:rPr>
      <w:rFonts w:ascii="Times New Roman" w:hAnsi="Times New Roman" w:eastAsia="宋体" w:cs="Times New Roman"/>
      <w:b/>
      <w:sz w:val="28"/>
      <w:szCs w:val="24"/>
    </w:rPr>
  </w:style>
  <w:style w:type="character" w:customStyle="1" w:styleId="146">
    <w:name w:val="标题 4 Char"/>
    <w:basedOn w:val="87"/>
    <w:link w:val="5"/>
    <w:qFormat/>
    <w:uiPriority w:val="0"/>
    <w:rPr>
      <w:rFonts w:ascii="Times New Roman" w:hAnsi="Times New Roman" w:eastAsia="宋体,Bold" w:cs="Times New Roman"/>
      <w:b/>
      <w:bCs/>
      <w:kern w:val="0"/>
      <w:sz w:val="24"/>
      <w:szCs w:val="18"/>
    </w:rPr>
  </w:style>
  <w:style w:type="character" w:customStyle="1" w:styleId="147">
    <w:name w:val="标题 5 Char"/>
    <w:basedOn w:val="87"/>
    <w:link w:val="6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148">
    <w:name w:val="标题 6 Char"/>
    <w:basedOn w:val="87"/>
    <w:link w:val="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9">
    <w:name w:val="标题 7 Char"/>
    <w:basedOn w:val="87"/>
    <w:link w:val="8"/>
    <w:qFormat/>
    <w:uiPriority w:val="0"/>
    <w:rPr>
      <w:rFonts w:ascii="Times New Roman" w:hAnsi="Times New Roman" w:eastAsia="宋体" w:cs="Times New Roman"/>
      <w:b/>
      <w:bCs/>
      <w:sz w:val="30"/>
      <w:szCs w:val="24"/>
    </w:rPr>
  </w:style>
  <w:style w:type="character" w:customStyle="1" w:styleId="150">
    <w:name w:val="标题 8 Char"/>
    <w:basedOn w:val="87"/>
    <w:link w:val="9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1">
    <w:name w:val="标题 9 Char"/>
    <w:basedOn w:val="87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2">
    <w:name w:val="文档结构图 Char"/>
    <w:basedOn w:val="87"/>
    <w:link w:val="28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53">
    <w:name w:val="正文文本 Char"/>
    <w:basedOn w:val="87"/>
    <w:link w:val="14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54">
    <w:name w:val="正文文本缩进 Char"/>
    <w:basedOn w:val="87"/>
    <w:link w:val="3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HTML 地址 Char"/>
    <w:basedOn w:val="87"/>
    <w:link w:val="42"/>
    <w:qFormat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156">
    <w:name w:val="HTML 预设格式 Char"/>
    <w:basedOn w:val="87"/>
    <w:link w:val="82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57">
    <w:name w:val="标题 Char"/>
    <w:basedOn w:val="87"/>
    <w:link w:val="8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58">
    <w:name w:val="称呼 Char"/>
    <w:basedOn w:val="87"/>
    <w:link w:val="3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9">
    <w:name w:val="电子邮件签名 Char"/>
    <w:basedOn w:val="87"/>
    <w:link w:val="2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0">
    <w:name w:val="宏文本 Char"/>
    <w:basedOn w:val="87"/>
    <w:link w:val="17"/>
    <w:semiHidden/>
    <w:qFormat/>
    <w:uiPriority w:val="0"/>
    <w:rPr>
      <w:rFonts w:ascii="Courier New" w:hAnsi="Courier New" w:eastAsia="宋体" w:cs="Courier New"/>
      <w:sz w:val="24"/>
      <w:szCs w:val="24"/>
    </w:rPr>
  </w:style>
  <w:style w:type="character" w:customStyle="1" w:styleId="161">
    <w:name w:val="脚注文本 Char"/>
    <w:basedOn w:val="87"/>
    <w:link w:val="6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2">
    <w:name w:val="结束语 Char"/>
    <w:basedOn w:val="87"/>
    <w:link w:val="3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3">
    <w:name w:val="批注文字 Char"/>
    <w:basedOn w:val="87"/>
    <w:link w:val="30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4">
    <w:name w:val="纯文本 Char"/>
    <w:basedOn w:val="87"/>
    <w:link w:val="46"/>
    <w:qFormat/>
    <w:uiPriority w:val="0"/>
    <w:rPr>
      <w:rFonts w:ascii="宋体" w:hAnsi="Courier New" w:eastAsia="宋体" w:cs="Courier New"/>
      <w:szCs w:val="21"/>
    </w:rPr>
  </w:style>
  <w:style w:type="character" w:customStyle="1" w:styleId="165">
    <w:name w:val="签名 Char"/>
    <w:basedOn w:val="87"/>
    <w:link w:val="6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6">
    <w:name w:val="日期 Char"/>
    <w:basedOn w:val="87"/>
    <w:link w:val="5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7">
    <w:name w:val="副标题 Char"/>
    <w:basedOn w:val="87"/>
    <w:link w:val="66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68">
    <w:name w:val="尾注文本 Char"/>
    <w:basedOn w:val="87"/>
    <w:link w:val="5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9">
    <w:name w:val="信息标题 Char"/>
    <w:basedOn w:val="87"/>
    <w:link w:val="81"/>
    <w:qFormat/>
    <w:uiPriority w:val="0"/>
    <w:rPr>
      <w:rFonts w:ascii="Arial" w:hAnsi="Arial" w:eastAsia="宋体" w:cs="Arial"/>
      <w:sz w:val="24"/>
      <w:szCs w:val="24"/>
      <w:shd w:val="pct20" w:color="auto" w:fill="auto"/>
    </w:rPr>
  </w:style>
  <w:style w:type="character" w:customStyle="1" w:styleId="170">
    <w:name w:val="正文首行缩进 Char"/>
    <w:basedOn w:val="153"/>
    <w:link w:val="13"/>
    <w:qFormat/>
    <w:uiPriority w:val="0"/>
    <w:rPr>
      <w:szCs w:val="24"/>
    </w:rPr>
  </w:style>
  <w:style w:type="character" w:customStyle="1" w:styleId="171">
    <w:name w:val="正文首行缩进 2 Char"/>
    <w:basedOn w:val="154"/>
    <w:link w:val="58"/>
    <w:qFormat/>
    <w:uiPriority w:val="0"/>
  </w:style>
  <w:style w:type="character" w:customStyle="1" w:styleId="172">
    <w:name w:val="正文文本 2 Char"/>
    <w:basedOn w:val="87"/>
    <w:link w:val="7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3">
    <w:name w:val="正文文本 3 Char"/>
    <w:basedOn w:val="87"/>
    <w:link w:val="33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4">
    <w:name w:val="正文文本缩进 2 Char"/>
    <w:basedOn w:val="87"/>
    <w:link w:val="5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正文文本缩进 3 Char"/>
    <w:basedOn w:val="87"/>
    <w:link w:val="72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6">
    <w:name w:val="注释标题 Char"/>
    <w:basedOn w:val="87"/>
    <w:link w:val="18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7">
    <w:name w:val="无间隔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1240</Words>
  <Characters>6606</Characters>
  <Lines>58</Lines>
  <Paragraphs>16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2013-06-07T02:17:00Z</dcterms:created>
  <dc:creator>Sky123.Org</dc:creator>
  <cp:lastModifiedBy>Administrator</cp:lastModifiedBy>
  <dcterms:modified xsi:type="dcterms:W3CDTF">2017-09-27T03:36:36Z</dcterms:modified>
  <dc:subject> 1.25Gb/s 120km CWDM SFP Transceiver                                                      Hot Pluggable, Duplex LC, +3.3V, 1270nm～1610nm, CWDM DFB, Single-mode, DDM</dc:subject>
  <dc:title>TSPL1G80D-xx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